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407FF3" w14:textId="77777777" w:rsidR="0069360C" w:rsidRDefault="006E3EC5">
      <w:pPr>
        <w:widowControl/>
        <w:shd w:val="clear" w:color="auto" w:fill="FFFFFF"/>
        <w:spacing w:afterLines="100" w:after="312"/>
        <w:jc w:val="center"/>
        <w:rPr>
          <w:rFonts w:ascii="仿宋_GB2312" w:eastAsia="仿宋_GB2312" w:hAnsi="微软雅黑"/>
          <w:b/>
          <w:bCs/>
          <w:sz w:val="38"/>
          <w:szCs w:val="38"/>
          <w:shd w:val="clear" w:color="auto" w:fill="FFFFFF"/>
        </w:rPr>
      </w:pPr>
      <w:r>
        <w:rPr>
          <w:rFonts w:ascii="仿宋_GB2312" w:eastAsia="仿宋_GB2312" w:hAnsi="微软雅黑" w:hint="eastAsia"/>
          <w:b/>
          <w:bCs/>
          <w:sz w:val="38"/>
          <w:szCs w:val="38"/>
          <w:shd w:val="clear" w:color="auto" w:fill="FFFFFF"/>
        </w:rPr>
        <w:t>地铁西湖大学站方案征集思路</w:t>
      </w:r>
    </w:p>
    <w:p w14:paraId="2A794D31" w14:textId="77777777" w:rsidR="0069360C" w:rsidRDefault="006E3EC5">
      <w:pPr>
        <w:widowControl/>
        <w:shd w:val="clear" w:color="auto" w:fill="FFFFFF"/>
        <w:ind w:firstLineChars="200" w:firstLine="562"/>
        <w:rPr>
          <w:rFonts w:ascii="仿宋_GB2312" w:eastAsia="仿宋_GB2312" w:hAnsi="微软雅黑" w:cs="宋体"/>
          <w:b/>
          <w:bCs/>
          <w:kern w:val="0"/>
          <w:sz w:val="28"/>
          <w:szCs w:val="28"/>
        </w:rPr>
      </w:pPr>
      <w:r>
        <w:rPr>
          <w:rFonts w:ascii="仿宋_GB2312" w:eastAsia="仿宋_GB2312" w:hAnsi="微软雅黑" w:cs="宋体" w:hint="eastAsia"/>
          <w:b/>
          <w:bCs/>
          <w:kern w:val="0"/>
          <w:sz w:val="28"/>
          <w:szCs w:val="28"/>
        </w:rPr>
        <w:t>1</w:t>
      </w:r>
      <w:r>
        <w:rPr>
          <w:rFonts w:ascii="仿宋_GB2312" w:eastAsia="仿宋_GB2312" w:hAnsi="微软雅黑" w:cs="宋体" w:hint="eastAsia"/>
          <w:b/>
          <w:bCs/>
          <w:kern w:val="0"/>
          <w:sz w:val="28"/>
          <w:szCs w:val="28"/>
        </w:rPr>
        <w:t>、现状背景</w:t>
      </w:r>
    </w:p>
    <w:p w14:paraId="0A932852" w14:textId="77777777" w:rsidR="0069360C" w:rsidRDefault="006E3EC5">
      <w:pPr>
        <w:ind w:firstLineChars="200" w:firstLine="560"/>
        <w:rPr>
          <w:rFonts w:ascii="仿宋_GB2312" w:eastAsia="仿宋_GB2312"/>
          <w:color w:val="000000"/>
          <w:sz w:val="28"/>
          <w:szCs w:val="28"/>
        </w:rPr>
      </w:pPr>
      <w:r>
        <w:rPr>
          <w:rFonts w:ascii="仿宋_GB2312" w:eastAsia="仿宋_GB2312" w:hint="eastAsia"/>
          <w:color w:val="000000"/>
          <w:sz w:val="28"/>
          <w:szCs w:val="28"/>
        </w:rPr>
        <w:t>地铁西湖大学站位于杭州市</w:t>
      </w:r>
      <w:r>
        <w:rPr>
          <w:rFonts w:ascii="仿宋_GB2312" w:eastAsia="仿宋_GB2312"/>
          <w:color w:val="000000"/>
          <w:sz w:val="28"/>
          <w:szCs w:val="28"/>
        </w:rPr>
        <w:t>西湖区</w:t>
      </w:r>
      <w:r>
        <w:rPr>
          <w:rFonts w:ascii="仿宋_GB2312" w:eastAsia="仿宋_GB2312" w:hint="eastAsia"/>
          <w:color w:val="000000"/>
          <w:sz w:val="28"/>
          <w:szCs w:val="28"/>
        </w:rPr>
        <w:t>云谷小镇中心区域</w:t>
      </w:r>
      <w:r>
        <w:rPr>
          <w:rFonts w:ascii="仿宋_GB2312" w:eastAsia="仿宋_GB2312"/>
          <w:color w:val="000000"/>
          <w:sz w:val="28"/>
          <w:szCs w:val="28"/>
        </w:rPr>
        <w:t>，</w:t>
      </w:r>
      <w:r>
        <w:rPr>
          <w:rFonts w:ascii="仿宋_GB2312" w:eastAsia="仿宋_GB2312" w:hint="eastAsia"/>
          <w:color w:val="000000"/>
          <w:sz w:val="28"/>
          <w:szCs w:val="28"/>
        </w:rPr>
        <w:t>城西科创大走廊东端，杭州云城东北部。站点周边科技、创新、创业资源集聚，生态自然环境优美，是杭州城西科创产业网络的重要连接节点。</w:t>
      </w:r>
    </w:p>
    <w:p w14:paraId="4A7E8B42" w14:textId="77777777" w:rsidR="0069360C" w:rsidRDefault="006E3EC5">
      <w:pPr>
        <w:jc w:val="center"/>
        <w:rPr>
          <w:rFonts w:ascii="仿宋_GB2312" w:eastAsia="仿宋_GB2312"/>
          <w:color w:val="000000"/>
          <w:sz w:val="28"/>
          <w:szCs w:val="28"/>
        </w:rPr>
      </w:pPr>
      <w:r>
        <w:rPr>
          <w:rFonts w:ascii="仿宋_GB2312" w:eastAsia="仿宋_GB2312" w:hint="eastAsia"/>
          <w:noProof/>
          <w:color w:val="000000"/>
          <w:sz w:val="28"/>
          <w:szCs w:val="28"/>
        </w:rPr>
        <w:drawing>
          <wp:inline distT="0" distB="0" distL="0" distR="0" wp14:anchorId="177D438A" wp14:editId="3B94C785">
            <wp:extent cx="4794885" cy="3388360"/>
            <wp:effectExtent l="0" t="0" r="571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5200" cy="338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14907" w14:textId="77777777" w:rsidR="0069360C" w:rsidRDefault="006E3EC5">
      <w:pPr>
        <w:jc w:val="center"/>
        <w:rPr>
          <w:rFonts w:ascii="仿宋_GB2312" w:eastAsia="仿宋_GB2312" w:hAnsi="Times New Roman"/>
          <w:szCs w:val="21"/>
        </w:rPr>
      </w:pPr>
      <w:r>
        <w:rPr>
          <w:rFonts w:ascii="仿宋_GB2312" w:eastAsia="仿宋_GB2312" w:hAnsi="Times New Roman" w:hint="eastAsia"/>
          <w:szCs w:val="21"/>
        </w:rPr>
        <w:t>图</w:t>
      </w:r>
      <w:r>
        <w:rPr>
          <w:rFonts w:ascii="仿宋_GB2312" w:eastAsia="仿宋_GB2312" w:hAnsi="Times New Roman" w:hint="eastAsia"/>
          <w:szCs w:val="21"/>
        </w:rPr>
        <w:t xml:space="preserve">1 </w:t>
      </w:r>
      <w:r>
        <w:rPr>
          <w:rFonts w:ascii="仿宋_GB2312" w:eastAsia="仿宋_GB2312" w:hAnsi="Times New Roman" w:hint="eastAsia"/>
          <w:szCs w:val="21"/>
        </w:rPr>
        <w:t>项目区位示意图</w:t>
      </w:r>
    </w:p>
    <w:p w14:paraId="734B7A84" w14:textId="77777777" w:rsidR="0069360C" w:rsidRDefault="006E3EC5">
      <w:pPr>
        <w:ind w:firstLineChars="200" w:firstLine="560"/>
        <w:rPr>
          <w:rFonts w:ascii="仿宋_GB2312" w:eastAsia="仿宋_GB2312" w:hAnsi="仿宋" w:cs="微软雅黑"/>
          <w:sz w:val="28"/>
          <w:szCs w:val="28"/>
        </w:rPr>
      </w:pPr>
      <w:r>
        <w:rPr>
          <w:rFonts w:ascii="仿宋_GB2312" w:eastAsia="仿宋_GB2312"/>
          <w:color w:val="000000"/>
          <w:sz w:val="28"/>
          <w:szCs w:val="28"/>
        </w:rPr>
        <w:t>本次</w:t>
      </w:r>
      <w:r>
        <w:rPr>
          <w:rFonts w:ascii="仿宋_GB2312" w:eastAsia="仿宋_GB2312" w:hint="eastAsia"/>
          <w:color w:val="000000"/>
          <w:sz w:val="28"/>
          <w:szCs w:val="28"/>
        </w:rPr>
        <w:t>方案征集</w:t>
      </w:r>
      <w:r>
        <w:rPr>
          <w:rFonts w:ascii="仿宋_GB2312" w:eastAsia="仿宋_GB2312" w:hAnsi="仿宋" w:cs="微软雅黑"/>
          <w:sz w:val="28"/>
          <w:szCs w:val="28"/>
        </w:rPr>
        <w:t>以轨道站点建设为发展契机，充分发挥轨道交通综合效益，重点体现科创新区的发展要求，以多样性、复合性功能引导创新主体、创新人群、创新服务等创新要素集聚，构建西湖大学综合创新圈的核心功能节点，探索</w:t>
      </w:r>
      <w:r>
        <w:rPr>
          <w:rFonts w:ascii="仿宋_GB2312" w:eastAsia="仿宋_GB2312" w:hAnsi="仿宋" w:cs="微软雅黑" w:hint="eastAsia"/>
          <w:sz w:val="28"/>
          <w:szCs w:val="28"/>
        </w:rPr>
        <w:t>产城人融合、</w:t>
      </w:r>
      <w:r>
        <w:rPr>
          <w:rFonts w:ascii="仿宋_GB2312" w:eastAsia="仿宋_GB2312" w:hAnsi="仿宋" w:cs="微软雅黑"/>
          <w:sz w:val="28"/>
          <w:szCs w:val="28"/>
        </w:rPr>
        <w:t>园</w:t>
      </w:r>
      <w:r>
        <w:rPr>
          <w:rFonts w:ascii="仿宋_GB2312" w:eastAsia="仿宋_GB2312" w:hAnsi="仿宋" w:cs="微软雅黑" w:hint="eastAsia"/>
          <w:sz w:val="28"/>
          <w:szCs w:val="28"/>
        </w:rPr>
        <w:t>（公园）</w:t>
      </w:r>
      <w:r>
        <w:rPr>
          <w:rFonts w:ascii="仿宋_GB2312" w:eastAsia="仿宋_GB2312" w:hAnsi="仿宋" w:cs="微软雅黑"/>
          <w:sz w:val="28"/>
          <w:szCs w:val="28"/>
        </w:rPr>
        <w:t>站城一体的</w:t>
      </w:r>
      <w:r>
        <w:rPr>
          <w:rFonts w:ascii="仿宋_GB2312" w:eastAsia="仿宋_GB2312" w:hAnsi="仿宋" w:cs="微软雅黑"/>
          <w:sz w:val="28"/>
          <w:szCs w:val="28"/>
        </w:rPr>
        <w:t>TOD</w:t>
      </w:r>
      <w:r>
        <w:rPr>
          <w:rFonts w:ascii="仿宋_GB2312" w:eastAsia="仿宋_GB2312" w:hAnsi="仿宋" w:cs="微软雅黑"/>
          <w:sz w:val="28"/>
          <w:szCs w:val="28"/>
        </w:rPr>
        <w:t>综合</w:t>
      </w:r>
      <w:r>
        <w:rPr>
          <w:rFonts w:ascii="仿宋_GB2312" w:eastAsia="仿宋_GB2312" w:hAnsi="仿宋" w:cs="微软雅黑" w:hint="eastAsia"/>
          <w:sz w:val="28"/>
          <w:szCs w:val="28"/>
        </w:rPr>
        <w:t>利用</w:t>
      </w:r>
      <w:r>
        <w:rPr>
          <w:rFonts w:ascii="仿宋_GB2312" w:eastAsia="仿宋_GB2312" w:hAnsi="仿宋" w:cs="微软雅黑"/>
          <w:sz w:val="28"/>
          <w:szCs w:val="28"/>
        </w:rPr>
        <w:t>新样板。</w:t>
      </w:r>
    </w:p>
    <w:p w14:paraId="31A8063A" w14:textId="77777777" w:rsidR="0069360C" w:rsidRDefault="006E3EC5">
      <w:pPr>
        <w:ind w:firstLineChars="200" w:firstLine="528"/>
        <w:rPr>
          <w:rFonts w:ascii="Times New Roman" w:eastAsia="仿宋_GB2312" w:hAnsi="Times New Roman"/>
          <w:bCs/>
          <w:spacing w:val="-8"/>
          <w:sz w:val="28"/>
        </w:rPr>
      </w:pPr>
      <w:r>
        <w:rPr>
          <w:rFonts w:ascii="Times New Roman" w:eastAsia="仿宋_GB2312" w:hAnsi="Times New Roman"/>
          <w:bCs/>
          <w:spacing w:val="-8"/>
          <w:sz w:val="28"/>
        </w:rPr>
        <w:t>项目分为规划研究范围、城市设计范围和核心区建筑概念方案设计范围三个层次。</w:t>
      </w:r>
    </w:p>
    <w:p w14:paraId="1603A4AE" w14:textId="77777777" w:rsidR="0069360C" w:rsidRDefault="006E3EC5">
      <w:pPr>
        <w:pStyle w:val="ab"/>
        <w:numPr>
          <w:ilvl w:val="0"/>
          <w:numId w:val="1"/>
        </w:numPr>
        <w:ind w:firstLineChars="0"/>
        <w:rPr>
          <w:rFonts w:ascii="Times New Roman" w:eastAsia="仿宋_GB2312" w:hAnsi="Times New Roman"/>
          <w:b/>
          <w:bCs/>
          <w:sz w:val="28"/>
        </w:rPr>
      </w:pPr>
      <w:r>
        <w:rPr>
          <w:rFonts w:ascii="Times New Roman" w:eastAsia="仿宋_GB2312" w:hAnsi="Times New Roman"/>
          <w:b/>
          <w:bCs/>
          <w:sz w:val="28"/>
        </w:rPr>
        <w:lastRenderedPageBreak/>
        <w:t>规划研究范围</w:t>
      </w:r>
    </w:p>
    <w:p w14:paraId="24D1773D" w14:textId="77777777" w:rsidR="0069360C" w:rsidRDefault="006E3EC5">
      <w:pPr>
        <w:spacing w:line="480" w:lineRule="auto"/>
        <w:ind w:firstLineChars="200" w:firstLine="560"/>
        <w:rPr>
          <w:rFonts w:ascii="仿宋_GB2312" w:eastAsia="仿宋_GB2312" w:hAnsi="Times New Roman"/>
          <w:bCs/>
          <w:sz w:val="28"/>
        </w:rPr>
      </w:pPr>
      <w:r>
        <w:rPr>
          <w:rFonts w:ascii="仿宋_GB2312" w:eastAsia="仿宋_GB2312" w:hAnsi="Times New Roman" w:hint="eastAsia"/>
          <w:bCs/>
          <w:sz w:val="28"/>
        </w:rPr>
        <w:t>规划研究范围为站点周边</w:t>
      </w:r>
      <w:r>
        <w:rPr>
          <w:rFonts w:ascii="仿宋_GB2312" w:eastAsia="仿宋_GB2312" w:hAnsi="Times New Roman" w:hint="eastAsia"/>
          <w:bCs/>
          <w:sz w:val="28"/>
        </w:rPr>
        <w:t>1500</w:t>
      </w:r>
      <w:r>
        <w:rPr>
          <w:rFonts w:ascii="仿宋_GB2312" w:eastAsia="仿宋_GB2312" w:hAnsi="Times New Roman" w:hint="eastAsia"/>
          <w:bCs/>
          <w:sz w:val="28"/>
        </w:rPr>
        <w:t>米辐射影响区，包含西湖大学、西湖大学产学研配套区、西湖大学综合配套区、云谷绿芯公园、阿里云等重要的功能板块，具体范围东至规划云洪路，南至苏嘉路，西至规划良祥路，北至杭长高速，用地面积约为</w:t>
      </w:r>
      <w:r>
        <w:rPr>
          <w:rFonts w:ascii="仿宋_GB2312" w:eastAsia="仿宋_GB2312" w:hAnsi="Times New Roman" w:hint="eastAsia"/>
          <w:bCs/>
          <w:sz w:val="28"/>
        </w:rPr>
        <w:t>498.34</w:t>
      </w:r>
      <w:r>
        <w:rPr>
          <w:rFonts w:ascii="仿宋_GB2312" w:eastAsia="仿宋_GB2312" w:hAnsi="Times New Roman" w:hint="eastAsia"/>
          <w:bCs/>
          <w:sz w:val="28"/>
        </w:rPr>
        <w:t>公顷。</w:t>
      </w:r>
    </w:p>
    <w:p w14:paraId="12D81257" w14:textId="77777777" w:rsidR="0069360C" w:rsidRDefault="006E3EC5">
      <w:pPr>
        <w:spacing w:line="480" w:lineRule="auto"/>
        <w:jc w:val="center"/>
        <w:rPr>
          <w:rFonts w:ascii="仿宋_GB2312" w:eastAsia="仿宋_GB2312" w:hAnsi="Times New Roman"/>
          <w:bCs/>
          <w:sz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5B7109B" wp14:editId="6B04FB99">
                <wp:simplePos x="0" y="0"/>
                <wp:positionH relativeFrom="column">
                  <wp:posOffset>850265</wp:posOffset>
                </wp:positionH>
                <wp:positionV relativeFrom="paragraph">
                  <wp:posOffset>918845</wp:posOffset>
                </wp:positionV>
                <wp:extent cx="2778125" cy="2517140"/>
                <wp:effectExtent l="0" t="0" r="0" b="0"/>
                <wp:wrapNone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8125" cy="2517140"/>
                          <a:chOff x="3998" y="23411"/>
                          <a:chExt cx="4375" cy="3964"/>
                        </a:xfrm>
                      </wpg:grpSpPr>
                      <wps:wsp>
                        <wps:cNvPr id="6" name="文本框 6"/>
                        <wps:cNvSpPr txBox="1"/>
                        <wps:spPr>
                          <a:xfrm>
                            <a:off x="7095" y="23647"/>
                            <a:ext cx="1279" cy="4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78AD547" w14:textId="77777777" w:rsidR="0069360C" w:rsidRPr="00400D7F" w:rsidRDefault="006E3EC5">
                              <w:pPr>
                                <w:rPr>
                                  <w:rFonts w:ascii="黑体" w:eastAsia="黑体" w:hAnsi="黑体"/>
                                  <w:sz w:val="16"/>
                                  <w:szCs w:val="16"/>
                                </w:rPr>
                              </w:pPr>
                              <w:r w:rsidRPr="00400D7F">
                                <w:rPr>
                                  <w:rFonts w:ascii="黑体" w:eastAsia="黑体" w:hAnsi="黑体" w:hint="eastAsia"/>
                                  <w:sz w:val="16"/>
                                  <w:szCs w:val="16"/>
                                </w:rPr>
                                <w:t>产学研配套区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8" name="文本框 8"/>
                        <wps:cNvSpPr txBox="1"/>
                        <wps:spPr>
                          <a:xfrm>
                            <a:off x="3998" y="23411"/>
                            <a:ext cx="1279" cy="4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88B9B59" w14:textId="77777777" w:rsidR="0069360C" w:rsidRPr="00400D7F" w:rsidRDefault="006E3EC5">
                              <w:pPr>
                                <w:rPr>
                                  <w:rFonts w:ascii="黑体" w:eastAsia="黑体" w:hAnsi="黑体"/>
                                  <w:sz w:val="16"/>
                                  <w:szCs w:val="16"/>
                                </w:rPr>
                              </w:pPr>
                              <w:r w:rsidRPr="00400D7F">
                                <w:rPr>
                                  <w:rFonts w:ascii="黑体" w:eastAsia="黑体" w:hAnsi="黑体" w:hint="eastAsia"/>
                                  <w:sz w:val="16"/>
                                  <w:szCs w:val="16"/>
                                </w:rPr>
                                <w:t>综合配套区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9" name="文本框 9"/>
                        <wps:cNvSpPr txBox="1"/>
                        <wps:spPr>
                          <a:xfrm>
                            <a:off x="5498" y="23637"/>
                            <a:ext cx="1279" cy="4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16F5BEA" w14:textId="77777777" w:rsidR="0069360C" w:rsidRPr="00400D7F" w:rsidRDefault="006E3EC5">
                              <w:pPr>
                                <w:rPr>
                                  <w:rFonts w:ascii="黑体" w:eastAsia="黑体" w:hAnsi="黑体"/>
                                  <w:sz w:val="16"/>
                                  <w:szCs w:val="16"/>
                                </w:rPr>
                              </w:pPr>
                              <w:r w:rsidRPr="00400D7F">
                                <w:rPr>
                                  <w:rFonts w:ascii="黑体" w:eastAsia="黑体" w:hAnsi="黑体" w:hint="eastAsia"/>
                                  <w:sz w:val="16"/>
                                  <w:szCs w:val="16"/>
                                </w:rPr>
                                <w:t>西湖大学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0" name="文本框 10"/>
                        <wps:cNvSpPr txBox="1"/>
                        <wps:spPr>
                          <a:xfrm>
                            <a:off x="5713" y="26959"/>
                            <a:ext cx="1279" cy="4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C01F89" w14:textId="77777777" w:rsidR="0069360C" w:rsidRPr="00400D7F" w:rsidRDefault="006E3EC5">
                              <w:pPr>
                                <w:rPr>
                                  <w:rFonts w:ascii="黑体" w:eastAsia="黑体" w:hAnsi="黑体"/>
                                  <w:sz w:val="16"/>
                                  <w:szCs w:val="16"/>
                                </w:rPr>
                              </w:pPr>
                              <w:r w:rsidRPr="00400D7F">
                                <w:rPr>
                                  <w:rFonts w:ascii="黑体" w:eastAsia="黑体" w:hAnsi="黑体" w:hint="eastAsia"/>
                                  <w:sz w:val="16"/>
                                  <w:szCs w:val="16"/>
                                </w:rPr>
                                <w:t>阿里云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1" name="文本框 11"/>
                        <wps:cNvSpPr txBox="1"/>
                        <wps:spPr>
                          <a:xfrm>
                            <a:off x="4513" y="26231"/>
                            <a:ext cx="1279" cy="4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55229C8" w14:textId="77777777" w:rsidR="0069360C" w:rsidRPr="00400D7F" w:rsidRDefault="006E3EC5">
                              <w:pPr>
                                <w:rPr>
                                  <w:rFonts w:ascii="黑体" w:eastAsia="黑体" w:hAnsi="黑体"/>
                                  <w:sz w:val="16"/>
                                  <w:szCs w:val="16"/>
                                </w:rPr>
                              </w:pPr>
                              <w:r w:rsidRPr="00400D7F">
                                <w:rPr>
                                  <w:rFonts w:ascii="黑体" w:eastAsia="黑体" w:hAnsi="黑体" w:hint="eastAsia"/>
                                  <w:sz w:val="16"/>
                                  <w:szCs w:val="16"/>
                                </w:rPr>
                                <w:t>云谷绿芯公园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B7109B" id="组合 12" o:spid="_x0000_s1026" style="position:absolute;left:0;text-align:left;margin-left:66.95pt;margin-top:72.35pt;width:218.75pt;height:198.2pt;z-index:251661312" coordorigin="3998,23411" coordsize="4375,3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7095;top:23647;width:1279;height: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<v:textbox>
                    <w:txbxContent>
                      <w:p w14:paraId="678AD547" w14:textId="77777777" w:rsidR="0069360C" w:rsidRPr="00400D7F" w:rsidRDefault="006E3EC5">
                        <w:pPr>
                          <w:rPr>
                            <w:rFonts w:ascii="黑体" w:eastAsia="黑体" w:hAnsi="黑体"/>
                            <w:sz w:val="16"/>
                            <w:szCs w:val="16"/>
                          </w:rPr>
                        </w:pPr>
                        <w:r w:rsidRPr="00400D7F">
                          <w:rPr>
                            <w:rFonts w:ascii="黑体" w:eastAsia="黑体" w:hAnsi="黑体" w:hint="eastAsia"/>
                            <w:sz w:val="16"/>
                            <w:szCs w:val="16"/>
                          </w:rPr>
                          <w:t>产学研配套区</w:t>
                        </w:r>
                      </w:p>
                    </w:txbxContent>
                  </v:textbox>
                </v:shape>
                <v:shape id="文本框 8" o:spid="_x0000_s1028" type="#_x0000_t202" style="position:absolute;left:3998;top:23411;width:1279;height: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14:paraId="288B9B59" w14:textId="77777777" w:rsidR="0069360C" w:rsidRPr="00400D7F" w:rsidRDefault="006E3EC5">
                        <w:pPr>
                          <w:rPr>
                            <w:rFonts w:ascii="黑体" w:eastAsia="黑体" w:hAnsi="黑体"/>
                            <w:sz w:val="16"/>
                            <w:szCs w:val="16"/>
                          </w:rPr>
                        </w:pPr>
                        <w:r w:rsidRPr="00400D7F">
                          <w:rPr>
                            <w:rFonts w:ascii="黑体" w:eastAsia="黑体" w:hAnsi="黑体" w:hint="eastAsia"/>
                            <w:sz w:val="16"/>
                            <w:szCs w:val="16"/>
                          </w:rPr>
                          <w:t>综合配套区</w:t>
                        </w:r>
                      </w:p>
                    </w:txbxContent>
                  </v:textbox>
                </v:shape>
                <v:shape id="文本框 9" o:spid="_x0000_s1029" type="#_x0000_t202" style="position:absolute;left:5498;top:23637;width:1279;height: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<v:textbox>
                    <w:txbxContent>
                      <w:p w14:paraId="616F5BEA" w14:textId="77777777" w:rsidR="0069360C" w:rsidRPr="00400D7F" w:rsidRDefault="006E3EC5">
                        <w:pPr>
                          <w:rPr>
                            <w:rFonts w:ascii="黑体" w:eastAsia="黑体" w:hAnsi="黑体"/>
                            <w:sz w:val="16"/>
                            <w:szCs w:val="16"/>
                          </w:rPr>
                        </w:pPr>
                        <w:r w:rsidRPr="00400D7F">
                          <w:rPr>
                            <w:rFonts w:ascii="黑体" w:eastAsia="黑体" w:hAnsi="黑体" w:hint="eastAsia"/>
                            <w:sz w:val="16"/>
                            <w:szCs w:val="16"/>
                          </w:rPr>
                          <w:t>西湖大学</w:t>
                        </w:r>
                      </w:p>
                    </w:txbxContent>
                  </v:textbox>
                </v:shape>
                <v:shape id="文本框 10" o:spid="_x0000_s1030" type="#_x0000_t202" style="position:absolute;left:5713;top:26959;width:1279;height: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<v:textbox>
                    <w:txbxContent>
                      <w:p w14:paraId="37C01F89" w14:textId="77777777" w:rsidR="0069360C" w:rsidRPr="00400D7F" w:rsidRDefault="006E3EC5">
                        <w:pPr>
                          <w:rPr>
                            <w:rFonts w:ascii="黑体" w:eastAsia="黑体" w:hAnsi="黑体"/>
                            <w:sz w:val="16"/>
                            <w:szCs w:val="16"/>
                          </w:rPr>
                        </w:pPr>
                        <w:r w:rsidRPr="00400D7F">
                          <w:rPr>
                            <w:rFonts w:ascii="黑体" w:eastAsia="黑体" w:hAnsi="黑体" w:hint="eastAsia"/>
                            <w:sz w:val="16"/>
                            <w:szCs w:val="16"/>
                          </w:rPr>
                          <w:t>阿里云</w:t>
                        </w:r>
                      </w:p>
                    </w:txbxContent>
                  </v:textbox>
                </v:shape>
                <v:shape id="文本框 11" o:spid="_x0000_s1031" type="#_x0000_t202" style="position:absolute;left:4513;top:26231;width:1279;height: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<v:textbox>
                    <w:txbxContent>
                      <w:p w14:paraId="255229C8" w14:textId="77777777" w:rsidR="0069360C" w:rsidRPr="00400D7F" w:rsidRDefault="006E3EC5">
                        <w:pPr>
                          <w:rPr>
                            <w:rFonts w:ascii="黑体" w:eastAsia="黑体" w:hAnsi="黑体"/>
                            <w:sz w:val="16"/>
                            <w:szCs w:val="16"/>
                          </w:rPr>
                        </w:pPr>
                        <w:r w:rsidRPr="00400D7F">
                          <w:rPr>
                            <w:rFonts w:ascii="黑体" w:eastAsia="黑体" w:hAnsi="黑体" w:hint="eastAsia"/>
                            <w:sz w:val="16"/>
                            <w:szCs w:val="16"/>
                          </w:rPr>
                          <w:t>云谷绿芯公园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仿宋_GB2312" w:eastAsia="仿宋_GB2312" w:hAnsi="Times New Roman" w:hint="eastAsia"/>
          <w:bCs/>
          <w:noProof/>
          <w:sz w:val="28"/>
        </w:rPr>
        <w:drawing>
          <wp:inline distT="0" distB="0" distL="0" distR="0" wp14:anchorId="39350F00" wp14:editId="37D69735">
            <wp:extent cx="4394200" cy="4058287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7262" cy="406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44968" w14:textId="77777777" w:rsidR="0069360C" w:rsidRDefault="006E3EC5">
      <w:pPr>
        <w:jc w:val="center"/>
        <w:rPr>
          <w:rFonts w:ascii="仿宋_GB2312" w:eastAsia="仿宋_GB2312" w:hAnsi="Times New Roman"/>
          <w:szCs w:val="21"/>
        </w:rPr>
      </w:pPr>
      <w:r>
        <w:rPr>
          <w:rFonts w:ascii="仿宋_GB2312" w:eastAsia="仿宋_GB2312" w:hAnsi="Times New Roman" w:hint="eastAsia"/>
          <w:szCs w:val="21"/>
        </w:rPr>
        <w:t>图</w:t>
      </w:r>
      <w:r>
        <w:rPr>
          <w:rFonts w:ascii="仿宋_GB2312" w:eastAsia="仿宋_GB2312" w:hAnsi="Times New Roman"/>
          <w:szCs w:val="21"/>
        </w:rPr>
        <w:t>2</w:t>
      </w:r>
      <w:r>
        <w:rPr>
          <w:rFonts w:ascii="仿宋_GB2312" w:eastAsia="仿宋_GB2312" w:hAnsi="Times New Roman" w:hint="eastAsia"/>
          <w:szCs w:val="21"/>
        </w:rPr>
        <w:t xml:space="preserve"> </w:t>
      </w:r>
      <w:r>
        <w:rPr>
          <w:rFonts w:ascii="仿宋_GB2312" w:eastAsia="仿宋_GB2312" w:hAnsi="Times New Roman" w:hint="eastAsia"/>
          <w:szCs w:val="21"/>
        </w:rPr>
        <w:t>规划范围</w:t>
      </w:r>
      <w:r>
        <w:rPr>
          <w:rFonts w:ascii="仿宋_GB2312" w:eastAsia="仿宋_GB2312" w:hAnsi="Times New Roman"/>
          <w:szCs w:val="21"/>
        </w:rPr>
        <w:t>图（底图为</w:t>
      </w:r>
      <w:r>
        <w:rPr>
          <w:rFonts w:ascii="仿宋_GB2312" w:eastAsia="仿宋_GB2312" w:hAnsi="Times New Roman" w:hint="eastAsia"/>
          <w:szCs w:val="21"/>
        </w:rPr>
        <w:t>现有</w:t>
      </w:r>
      <w:r>
        <w:rPr>
          <w:rFonts w:ascii="仿宋_GB2312" w:eastAsia="仿宋_GB2312" w:hAnsi="Times New Roman"/>
          <w:szCs w:val="21"/>
        </w:rPr>
        <w:t>控规方案）</w:t>
      </w:r>
    </w:p>
    <w:p w14:paraId="04C0DE4C" w14:textId="77777777" w:rsidR="0069360C" w:rsidRDefault="006E3EC5">
      <w:pPr>
        <w:pStyle w:val="ab"/>
        <w:numPr>
          <w:ilvl w:val="0"/>
          <w:numId w:val="1"/>
        </w:numPr>
        <w:ind w:firstLineChars="0"/>
        <w:rPr>
          <w:rFonts w:ascii="仿宋_GB2312" w:eastAsia="仿宋_GB2312" w:hAnsi="微软雅黑" w:cs="宋体"/>
          <w:b/>
          <w:bCs/>
          <w:kern w:val="0"/>
          <w:sz w:val="28"/>
          <w:szCs w:val="28"/>
        </w:rPr>
      </w:pPr>
      <w:r>
        <w:rPr>
          <w:rFonts w:ascii="仿宋_GB2312" w:eastAsia="仿宋_GB2312" w:hAnsi="微软雅黑" w:cs="宋体"/>
          <w:b/>
          <w:bCs/>
          <w:kern w:val="0"/>
          <w:sz w:val="28"/>
          <w:szCs w:val="28"/>
        </w:rPr>
        <w:t>城市设计范围</w:t>
      </w:r>
    </w:p>
    <w:p w14:paraId="761CAFF8" w14:textId="77777777" w:rsidR="0069360C" w:rsidRDefault="006E3EC5">
      <w:pPr>
        <w:spacing w:line="480" w:lineRule="auto"/>
        <w:ind w:firstLineChars="200" w:firstLine="560"/>
        <w:rPr>
          <w:rFonts w:ascii="仿宋_GB2312" w:eastAsia="仿宋_GB2312" w:hAnsi="Times New Roman"/>
          <w:bCs/>
          <w:sz w:val="28"/>
        </w:rPr>
      </w:pPr>
      <w:r>
        <w:rPr>
          <w:rFonts w:ascii="仿宋_GB2312" w:eastAsia="仿宋_GB2312" w:hAnsi="Times New Roman" w:hint="eastAsia"/>
          <w:bCs/>
          <w:sz w:val="28"/>
        </w:rPr>
        <w:t>以站点</w:t>
      </w:r>
      <w:r>
        <w:rPr>
          <w:rFonts w:ascii="仿宋_GB2312" w:eastAsia="仿宋_GB2312" w:hAnsi="Times New Roman" w:hint="eastAsia"/>
          <w:bCs/>
          <w:sz w:val="28"/>
        </w:rPr>
        <w:t>500-1000</w:t>
      </w:r>
      <w:r>
        <w:rPr>
          <w:rFonts w:ascii="仿宋_GB2312" w:eastAsia="仿宋_GB2312" w:hAnsi="Times New Roman" w:hint="eastAsia"/>
          <w:bCs/>
          <w:sz w:val="28"/>
        </w:rPr>
        <w:t>米半径范围所在的道路和用地为边界，具体范围为东至规划云洪路，南至规划云梦路、云宵路，西至规划良祥路，北至墩余路，用地面积约为</w:t>
      </w:r>
      <w:r>
        <w:rPr>
          <w:rFonts w:ascii="仿宋_GB2312" w:eastAsia="仿宋_GB2312" w:hAnsi="Times New Roman" w:hint="eastAsia"/>
          <w:bCs/>
          <w:sz w:val="28"/>
        </w:rPr>
        <w:t>89.04</w:t>
      </w:r>
      <w:r>
        <w:rPr>
          <w:rFonts w:ascii="仿宋_GB2312" w:eastAsia="仿宋_GB2312" w:hAnsi="Times New Roman" w:hint="eastAsia"/>
          <w:bCs/>
          <w:sz w:val="28"/>
        </w:rPr>
        <w:t>公顷。</w:t>
      </w:r>
    </w:p>
    <w:p w14:paraId="4597BD4C" w14:textId="77777777" w:rsidR="0069360C" w:rsidRDefault="006E3EC5">
      <w:pPr>
        <w:pStyle w:val="ab"/>
        <w:numPr>
          <w:ilvl w:val="0"/>
          <w:numId w:val="1"/>
        </w:numPr>
        <w:ind w:firstLineChars="0"/>
        <w:rPr>
          <w:rFonts w:ascii="仿宋_GB2312" w:eastAsia="仿宋_GB2312" w:hAnsi="微软雅黑" w:cs="宋体"/>
          <w:b/>
          <w:bCs/>
          <w:kern w:val="0"/>
          <w:sz w:val="28"/>
          <w:szCs w:val="28"/>
        </w:rPr>
      </w:pPr>
      <w:r>
        <w:rPr>
          <w:rFonts w:ascii="仿宋_GB2312" w:eastAsia="仿宋_GB2312" w:hAnsi="微软雅黑" w:cs="宋体"/>
          <w:b/>
          <w:bCs/>
          <w:kern w:val="0"/>
          <w:sz w:val="28"/>
          <w:szCs w:val="28"/>
        </w:rPr>
        <w:t>核心区建筑概念方案设计范围</w:t>
      </w:r>
    </w:p>
    <w:p w14:paraId="6945DE5B" w14:textId="77777777" w:rsidR="0069360C" w:rsidRDefault="006E3EC5">
      <w:pPr>
        <w:spacing w:line="480" w:lineRule="auto"/>
        <w:ind w:firstLineChars="200" w:firstLine="560"/>
        <w:rPr>
          <w:rFonts w:ascii="仿宋_GB2312" w:eastAsia="仿宋_GB2312" w:hAnsi="Times New Roman"/>
          <w:bCs/>
          <w:sz w:val="28"/>
        </w:rPr>
      </w:pPr>
      <w:r>
        <w:rPr>
          <w:rFonts w:ascii="仿宋_GB2312" w:eastAsia="仿宋_GB2312" w:hAnsi="Times New Roman" w:hint="eastAsia"/>
          <w:bCs/>
          <w:sz w:val="28"/>
        </w:rPr>
        <w:t>核心区范围包括西湖大学站点周边</w:t>
      </w:r>
      <w:r>
        <w:rPr>
          <w:rFonts w:ascii="仿宋_GB2312" w:eastAsia="仿宋_GB2312" w:hAnsi="Times New Roman" w:hint="eastAsia"/>
          <w:bCs/>
          <w:sz w:val="28"/>
        </w:rPr>
        <w:t>500</w:t>
      </w:r>
      <w:r>
        <w:rPr>
          <w:rFonts w:ascii="仿宋_GB2312" w:eastAsia="仿宋_GB2312" w:hAnsi="Times New Roman" w:hint="eastAsia"/>
          <w:bCs/>
          <w:sz w:val="28"/>
        </w:rPr>
        <w:t>米半径范围与之直接相</w:t>
      </w:r>
      <w:r>
        <w:rPr>
          <w:rFonts w:ascii="仿宋_GB2312" w:eastAsia="仿宋_GB2312" w:hAnsi="Times New Roman" w:hint="eastAsia"/>
          <w:bCs/>
          <w:sz w:val="28"/>
        </w:rPr>
        <w:lastRenderedPageBreak/>
        <w:t>连、功能关联度高的街坊或地块，具体范围为东至规划云大路，南至规划云宵路、云梦路，西至规划良祥路、云涛路，北至墩余路，用地面积约为</w:t>
      </w:r>
      <w:r>
        <w:rPr>
          <w:rFonts w:ascii="仿宋_GB2312" w:eastAsia="仿宋_GB2312" w:hAnsi="Times New Roman" w:hint="eastAsia"/>
          <w:bCs/>
          <w:sz w:val="28"/>
        </w:rPr>
        <w:t>43.32</w:t>
      </w:r>
      <w:r>
        <w:rPr>
          <w:rFonts w:ascii="仿宋_GB2312" w:eastAsia="仿宋_GB2312" w:hAnsi="Times New Roman" w:hint="eastAsia"/>
          <w:bCs/>
          <w:sz w:val="28"/>
        </w:rPr>
        <w:t>公顷，设计单位可结合具体设计对范围进行微调，调整后用地面积不应小于</w:t>
      </w:r>
      <w:r>
        <w:rPr>
          <w:rFonts w:ascii="仿宋_GB2312" w:eastAsia="仿宋_GB2312" w:hAnsi="Times New Roman" w:hint="eastAsia"/>
          <w:bCs/>
          <w:sz w:val="28"/>
        </w:rPr>
        <w:t>40</w:t>
      </w:r>
      <w:r>
        <w:rPr>
          <w:rFonts w:ascii="仿宋_GB2312" w:eastAsia="仿宋_GB2312" w:hAnsi="Times New Roman" w:hint="eastAsia"/>
          <w:bCs/>
          <w:sz w:val="28"/>
        </w:rPr>
        <w:t>公顷，必须包含云大路西侧绿带。</w:t>
      </w:r>
    </w:p>
    <w:p w14:paraId="3870296B" w14:textId="77777777" w:rsidR="0069360C" w:rsidRDefault="006E3EC5">
      <w:pPr>
        <w:ind w:firstLineChars="200" w:firstLine="562"/>
        <w:rPr>
          <w:rFonts w:ascii="仿宋_GB2312" w:eastAsia="仿宋_GB2312"/>
          <w:color w:val="000000"/>
          <w:sz w:val="28"/>
          <w:szCs w:val="28"/>
        </w:rPr>
      </w:pPr>
      <w:r>
        <w:rPr>
          <w:rFonts w:ascii="仿宋_GB2312" w:eastAsia="仿宋_GB2312" w:hAnsi="微软雅黑" w:cs="宋体" w:hint="eastAsia"/>
          <w:b/>
          <w:bCs/>
          <w:kern w:val="0"/>
          <w:sz w:val="28"/>
          <w:szCs w:val="28"/>
        </w:rPr>
        <w:t>2</w:t>
      </w:r>
      <w:r>
        <w:rPr>
          <w:rFonts w:ascii="仿宋_GB2312" w:eastAsia="仿宋_GB2312" w:hAnsi="微软雅黑" w:cs="宋体" w:hint="eastAsia"/>
          <w:b/>
          <w:bCs/>
          <w:kern w:val="0"/>
          <w:sz w:val="28"/>
          <w:szCs w:val="28"/>
        </w:rPr>
        <w:t>、既有规划</w:t>
      </w:r>
    </w:p>
    <w:p w14:paraId="41F1B7FA" w14:textId="56035CD7" w:rsidR="0069360C" w:rsidRDefault="006E3EC5">
      <w:pPr>
        <w:spacing w:line="480" w:lineRule="auto"/>
        <w:ind w:firstLineChars="200" w:firstLine="560"/>
        <w:rPr>
          <w:rFonts w:ascii="仿宋_GB2312" w:eastAsia="仿宋_GB2312" w:hAnsi="Times New Roman"/>
          <w:bCs/>
          <w:sz w:val="28"/>
        </w:rPr>
      </w:pPr>
      <w:r>
        <w:rPr>
          <w:rFonts w:ascii="仿宋_GB2312" w:eastAsia="仿宋_GB2312" w:hAnsi="Times New Roman" w:hint="eastAsia"/>
          <w:bCs/>
          <w:sz w:val="28"/>
        </w:rPr>
        <w:t>西湖大学站</w:t>
      </w:r>
      <w:r>
        <w:rPr>
          <w:rFonts w:ascii="仿宋_GB2312" w:eastAsia="仿宋_GB2312" w:hAnsi="Times New Roman" w:hint="eastAsia"/>
          <w:bCs/>
          <w:sz w:val="28"/>
        </w:rPr>
        <w:t>位于城西科创大走廊东部紫金港科技城内</w:t>
      </w:r>
      <w:r>
        <w:rPr>
          <w:rFonts w:ascii="仿宋_GB2312" w:eastAsia="仿宋_GB2312" w:hAnsi="Times New Roman" w:hint="eastAsia"/>
          <w:bCs/>
          <w:sz w:val="28"/>
        </w:rPr>
        <w:t>，</w:t>
      </w:r>
      <w:r>
        <w:rPr>
          <w:rFonts w:ascii="仿宋_GB2312" w:eastAsia="仿宋_GB2312" w:hAnsi="Times New Roman" w:hint="eastAsia"/>
          <w:bCs/>
          <w:sz w:val="28"/>
        </w:rPr>
        <w:t>城西科创大走廊</w:t>
      </w:r>
      <w:r>
        <w:rPr>
          <w:rFonts w:ascii="仿宋_GB2312" w:eastAsia="仿宋_GB2312" w:hAnsi="Times New Roman" w:hint="eastAsia"/>
          <w:bCs/>
          <w:sz w:val="28"/>
        </w:rPr>
        <w:t>的总体发展</w:t>
      </w:r>
      <w:r>
        <w:rPr>
          <w:rFonts w:ascii="仿宋_GB2312" w:eastAsia="仿宋_GB2312" w:hAnsi="Times New Roman" w:hint="eastAsia"/>
          <w:bCs/>
          <w:sz w:val="28"/>
        </w:rPr>
        <w:t>目标是打造面向世界、引领未来、服务全国、带动全省的创新策源地和创新力、竞争力、影响力卓著的高水平现代化引领示范区。站点周边</w:t>
      </w:r>
      <w:r>
        <w:rPr>
          <w:rFonts w:ascii="仿宋_GB2312" w:eastAsia="仿宋_GB2312" w:hAnsi="Times New Roman" w:hint="eastAsia"/>
          <w:bCs/>
          <w:sz w:val="28"/>
        </w:rPr>
        <w:t>应</w:t>
      </w:r>
      <w:r>
        <w:rPr>
          <w:rFonts w:ascii="仿宋_GB2312" w:eastAsia="仿宋_GB2312" w:hAnsi="Times New Roman" w:hint="eastAsia"/>
          <w:bCs/>
          <w:sz w:val="28"/>
        </w:rPr>
        <w:t>以西湖大学为核心创新源，</w:t>
      </w:r>
      <w:r>
        <w:rPr>
          <w:rFonts w:ascii="仿宋_GB2312" w:eastAsia="仿宋_GB2312" w:hAnsi="Times New Roman" w:hint="eastAsia"/>
          <w:bCs/>
          <w:sz w:val="28"/>
        </w:rPr>
        <w:t>打造创新活跃、交流高效、配套完善的环西湖大学创新圈</w:t>
      </w:r>
      <w:r>
        <w:rPr>
          <w:rFonts w:ascii="仿宋_GB2312" w:eastAsia="仿宋_GB2312" w:hAnsi="Times New Roman" w:hint="eastAsia"/>
          <w:bCs/>
          <w:sz w:val="28"/>
        </w:rPr>
        <w:t>，</w:t>
      </w:r>
      <w:r>
        <w:rPr>
          <w:rFonts w:ascii="仿宋_GB2312" w:eastAsia="仿宋_GB2312" w:hAnsi="Times New Roman" w:hint="eastAsia"/>
          <w:bCs/>
          <w:sz w:val="28"/>
        </w:rPr>
        <w:t>推动平台集聚、人才集聚、政策集聚、要素集聚和体制机制创新。</w:t>
      </w:r>
    </w:p>
    <w:p w14:paraId="712BBDF2" w14:textId="11591D56" w:rsidR="0069360C" w:rsidRDefault="00D52C04">
      <w:pPr>
        <w:spacing w:line="480" w:lineRule="auto"/>
        <w:ind w:firstLineChars="200" w:firstLine="560"/>
        <w:rPr>
          <w:rFonts w:ascii="仿宋_GB2312" w:eastAsia="仿宋_GB2312" w:hAnsi="Times New Roman"/>
          <w:bCs/>
          <w:sz w:val="28"/>
        </w:rPr>
      </w:pPr>
      <w:r>
        <w:rPr>
          <w:rFonts w:ascii="仿宋_GB2312" w:eastAsia="仿宋_GB2312" w:hAnsi="Times New Roman" w:hint="eastAsia"/>
          <w:bCs/>
          <w:sz w:val="28"/>
        </w:rPr>
        <w:t>站点同时</w:t>
      </w:r>
      <w:r w:rsidR="006E3EC5">
        <w:rPr>
          <w:rFonts w:ascii="仿宋_GB2312" w:eastAsia="仿宋_GB2312" w:hAnsi="Times New Roman" w:hint="eastAsia"/>
          <w:bCs/>
          <w:sz w:val="28"/>
        </w:rPr>
        <w:t>位于云城东部实验云岛内</w:t>
      </w:r>
      <w:r w:rsidR="006E3EC5">
        <w:rPr>
          <w:rFonts w:ascii="仿宋_GB2312" w:eastAsia="仿宋_GB2312" w:hAnsi="Times New Roman" w:hint="eastAsia"/>
          <w:bCs/>
          <w:sz w:val="28"/>
        </w:rPr>
        <w:t>，</w:t>
      </w:r>
      <w:r w:rsidR="006E3EC5">
        <w:rPr>
          <w:rFonts w:ascii="仿宋_GB2312" w:eastAsia="仿宋_GB2312" w:hAnsi="Times New Roman" w:hint="eastAsia"/>
          <w:bCs/>
          <w:sz w:val="28"/>
        </w:rPr>
        <w:t>云城总体发展要求为“集聚人才、链接未来、产城融合、职住平衡、山水田园、环境优美”。实验云岛应保障</w:t>
      </w:r>
      <w:r w:rsidR="006E3EC5">
        <w:rPr>
          <w:rFonts w:ascii="仿宋_GB2312" w:eastAsia="仿宋_GB2312" w:hAnsi="Times New Roman" w:hint="eastAsia"/>
          <w:bCs/>
          <w:sz w:val="28"/>
        </w:rPr>
        <w:t>“</w:t>
      </w:r>
      <w:r w:rsidR="006E3EC5">
        <w:rPr>
          <w:rFonts w:ascii="仿宋_GB2312" w:eastAsia="仿宋_GB2312" w:hAnsi="Times New Roman" w:hint="eastAsia"/>
          <w:bCs/>
          <w:sz w:val="28"/>
        </w:rPr>
        <w:t>TOD</w:t>
      </w:r>
      <w:r w:rsidR="006E3EC5">
        <w:rPr>
          <w:rFonts w:ascii="仿宋_GB2312" w:eastAsia="仿宋_GB2312" w:hAnsi="Times New Roman" w:hint="eastAsia"/>
          <w:bCs/>
          <w:sz w:val="28"/>
        </w:rPr>
        <w:t>枢纽</w:t>
      </w:r>
      <w:r w:rsidR="006E3EC5">
        <w:rPr>
          <w:rFonts w:ascii="仿宋_GB2312" w:eastAsia="仿宋_GB2312" w:hAnsi="Times New Roman" w:hint="eastAsia"/>
          <w:bCs/>
          <w:sz w:val="28"/>
        </w:rPr>
        <w:t>+</w:t>
      </w:r>
      <w:r w:rsidR="006E3EC5">
        <w:rPr>
          <w:rFonts w:ascii="仿宋_GB2312" w:eastAsia="仿宋_GB2312" w:hAnsi="Times New Roman" w:hint="eastAsia"/>
          <w:bCs/>
          <w:sz w:val="28"/>
        </w:rPr>
        <w:t>创新空间</w:t>
      </w:r>
      <w:r w:rsidR="006E3EC5">
        <w:rPr>
          <w:rFonts w:ascii="仿宋_GB2312" w:eastAsia="仿宋_GB2312" w:hAnsi="Times New Roman" w:hint="eastAsia"/>
          <w:bCs/>
          <w:sz w:val="28"/>
        </w:rPr>
        <w:t>+</w:t>
      </w:r>
      <w:r w:rsidR="006E3EC5">
        <w:rPr>
          <w:rFonts w:ascii="仿宋_GB2312" w:eastAsia="仿宋_GB2312" w:hAnsi="Times New Roman" w:hint="eastAsia"/>
          <w:bCs/>
          <w:sz w:val="28"/>
        </w:rPr>
        <w:t>活力中心</w:t>
      </w:r>
      <w:r w:rsidR="006E3EC5">
        <w:rPr>
          <w:rFonts w:ascii="仿宋_GB2312" w:eastAsia="仿宋_GB2312" w:hAnsi="Times New Roman" w:hint="eastAsia"/>
          <w:bCs/>
          <w:sz w:val="28"/>
        </w:rPr>
        <w:t>+</w:t>
      </w:r>
      <w:r w:rsidR="006E3EC5">
        <w:rPr>
          <w:rFonts w:ascii="仿宋_GB2312" w:eastAsia="仿宋_GB2312" w:hAnsi="Times New Roman" w:hint="eastAsia"/>
          <w:bCs/>
          <w:sz w:val="28"/>
        </w:rPr>
        <w:t>魅力空间”</w:t>
      </w:r>
      <w:r w:rsidR="006E3EC5">
        <w:rPr>
          <w:rFonts w:ascii="仿宋_GB2312" w:eastAsia="仿宋_GB2312" w:hAnsi="Times New Roman" w:hint="eastAsia"/>
          <w:bCs/>
          <w:sz w:val="28"/>
        </w:rPr>
        <w:t>基本要素</w:t>
      </w:r>
      <w:r w:rsidR="006E3EC5">
        <w:rPr>
          <w:rFonts w:ascii="仿宋_GB2312" w:eastAsia="仿宋_GB2312" w:hAnsi="Times New Roman" w:hint="eastAsia"/>
          <w:bCs/>
          <w:sz w:val="28"/>
        </w:rPr>
        <w:t>，依托</w:t>
      </w:r>
      <w:r w:rsidR="006E3EC5">
        <w:rPr>
          <w:rFonts w:ascii="仿宋_GB2312" w:eastAsia="仿宋_GB2312" w:hAnsi="Times New Roman" w:hint="eastAsia"/>
          <w:bCs/>
          <w:sz w:val="28"/>
        </w:rPr>
        <w:t>高等院校、</w:t>
      </w:r>
      <w:r w:rsidR="006E3EC5">
        <w:rPr>
          <w:rFonts w:ascii="仿宋_GB2312" w:eastAsia="仿宋_GB2312" w:hAnsi="Times New Roman" w:hint="eastAsia"/>
          <w:bCs/>
          <w:sz w:val="28"/>
        </w:rPr>
        <w:t>科研机构与龙头企业，提升数字科技源头创新能力。</w:t>
      </w:r>
    </w:p>
    <w:p w14:paraId="3622DBBC" w14:textId="77777777" w:rsidR="0069360C" w:rsidRDefault="006E3EC5">
      <w:pPr>
        <w:spacing w:line="360" w:lineRule="auto"/>
        <w:jc w:val="center"/>
        <w:rPr>
          <w:rFonts w:ascii="仿宋_GB2312" w:eastAsia="仿宋_GB2312" w:hAnsi="Times New Roman"/>
          <w:bCs/>
          <w:sz w:val="28"/>
        </w:rPr>
      </w:pPr>
      <w:r>
        <w:rPr>
          <w:rFonts w:ascii="仿宋_GB2312" w:eastAsia="仿宋_GB2312" w:hAnsi="Times New Roman" w:hint="eastAsia"/>
          <w:noProof/>
          <w:sz w:val="28"/>
        </w:rPr>
        <w:drawing>
          <wp:inline distT="0" distB="0" distL="0" distR="0" wp14:anchorId="1B264FAE" wp14:editId="74B6F4C9">
            <wp:extent cx="3756660" cy="2575363"/>
            <wp:effectExtent l="0" t="0" r="0" b="0"/>
            <wp:docPr id="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6999" cy="2589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5487A5" w14:textId="77777777" w:rsidR="0069360C" w:rsidRDefault="006E3EC5">
      <w:pPr>
        <w:jc w:val="center"/>
        <w:rPr>
          <w:rFonts w:ascii="仿宋_GB2312" w:eastAsia="仿宋_GB2312" w:hAnsi="Times New Roman"/>
          <w:szCs w:val="21"/>
        </w:rPr>
      </w:pPr>
      <w:r>
        <w:rPr>
          <w:rFonts w:ascii="仿宋_GB2312" w:eastAsia="仿宋_GB2312" w:hAnsi="Times New Roman" w:hint="eastAsia"/>
          <w:szCs w:val="21"/>
        </w:rPr>
        <w:t>图</w:t>
      </w:r>
      <w:r>
        <w:rPr>
          <w:rFonts w:ascii="仿宋_GB2312" w:eastAsia="仿宋_GB2312" w:hAnsi="Times New Roman"/>
          <w:szCs w:val="21"/>
        </w:rPr>
        <w:t>3</w:t>
      </w:r>
      <w:r>
        <w:rPr>
          <w:rFonts w:ascii="仿宋_GB2312" w:eastAsia="仿宋_GB2312" w:hAnsi="Times New Roman" w:hint="eastAsia"/>
          <w:szCs w:val="21"/>
        </w:rPr>
        <w:t xml:space="preserve"> </w:t>
      </w:r>
      <w:r>
        <w:rPr>
          <w:rFonts w:ascii="仿宋_GB2312" w:eastAsia="仿宋_GB2312" w:hAnsi="Times New Roman" w:hint="eastAsia"/>
          <w:szCs w:val="21"/>
        </w:rPr>
        <w:t>《杭州云城概念规划》“城</w:t>
      </w:r>
      <w:r>
        <w:rPr>
          <w:rFonts w:ascii="仿宋_GB2312" w:eastAsia="仿宋_GB2312" w:hAnsi="Times New Roman" w:hint="eastAsia"/>
          <w:szCs w:val="21"/>
        </w:rPr>
        <w:t>-</w:t>
      </w:r>
      <w:r>
        <w:rPr>
          <w:rFonts w:ascii="仿宋_GB2312" w:eastAsia="仿宋_GB2312" w:hAnsi="Times New Roman" w:hint="eastAsia"/>
          <w:szCs w:val="21"/>
        </w:rPr>
        <w:t>岛</w:t>
      </w:r>
      <w:r>
        <w:rPr>
          <w:rFonts w:ascii="仿宋_GB2312" w:eastAsia="仿宋_GB2312" w:hAnsi="Times New Roman" w:hint="eastAsia"/>
          <w:szCs w:val="21"/>
        </w:rPr>
        <w:t>-</w:t>
      </w:r>
      <w:r>
        <w:rPr>
          <w:rFonts w:ascii="仿宋_GB2312" w:eastAsia="仿宋_GB2312" w:hAnsi="Times New Roman" w:hint="eastAsia"/>
          <w:szCs w:val="21"/>
        </w:rPr>
        <w:t>村”空间结构图</w:t>
      </w:r>
    </w:p>
    <w:p w14:paraId="2FE4C8AB" w14:textId="262ADF0F" w:rsidR="0069360C" w:rsidRDefault="006C3DEC">
      <w:pPr>
        <w:ind w:firstLineChars="200" w:firstLine="420"/>
        <w:rPr>
          <w:rFonts w:ascii="仿宋_GB2312" w:eastAsia="仿宋_GB2312"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897321A" wp14:editId="352494E2">
                <wp:simplePos x="0" y="0"/>
                <wp:positionH relativeFrom="column">
                  <wp:posOffset>2590800</wp:posOffset>
                </wp:positionH>
                <wp:positionV relativeFrom="paragraph">
                  <wp:posOffset>4409440</wp:posOffset>
                </wp:positionV>
                <wp:extent cx="2378710" cy="289560"/>
                <wp:effectExtent l="0" t="0" r="0" b="0"/>
                <wp:wrapSquare wrapText="bothSides"/>
                <wp:docPr id="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871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4E7B16" w14:textId="77777777" w:rsidR="0069360C" w:rsidRDefault="006E3EC5">
                            <w:pPr>
                              <w:jc w:val="center"/>
                              <w:rPr>
                                <w:rFonts w:ascii="仿宋_GB2312" w:eastAsia="仿宋_GB2312" w:hAnsi="Times New Roman"/>
                                <w:szCs w:val="21"/>
                              </w:rPr>
                            </w:pPr>
                            <w:r>
                              <w:rPr>
                                <w:rFonts w:ascii="仿宋_GB2312" w:eastAsia="仿宋_GB2312" w:hAnsi="Times New Roman" w:hint="eastAsia"/>
                                <w:szCs w:val="21"/>
                              </w:rPr>
                              <w:t>图</w:t>
                            </w:r>
                            <w:r>
                              <w:rPr>
                                <w:rFonts w:ascii="仿宋_GB2312" w:eastAsia="仿宋_GB2312" w:hAnsi="Times New Roman" w:hint="eastAsia"/>
                                <w:szCs w:val="21"/>
                              </w:rPr>
                              <w:t>4</w:t>
                            </w:r>
                            <w:r>
                              <w:rPr>
                                <w:rFonts w:ascii="仿宋_GB2312" w:eastAsia="仿宋_GB2312" w:hAnsi="Times New Roman" w:hint="eastAsia"/>
                                <w:szCs w:val="21"/>
                              </w:rPr>
                              <w:t>双桥（云谷）单元空间结构图</w:t>
                            </w:r>
                          </w:p>
                        </w:txbxContent>
                      </wps:txbx>
                      <wps:bodyPr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97321A" id="文本框 2" o:spid="_x0000_s1032" type="#_x0000_t202" style="position:absolute;left:0;text-align:left;margin-left:204pt;margin-top:347.2pt;width:187.3pt;height:22.8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" stroked="f">
                <v:textbox style="mso-fit-shape-to-text:t">
                  <w:txbxContent>
                    <w:p w14:paraId="5E4E7B16" w14:textId="77777777" w:rsidR="0069360C" w:rsidRDefault="006E3EC5">
                      <w:pPr>
                        <w:jc w:val="center"/>
                        <w:rPr>
                          <w:rFonts w:ascii="仿宋_GB2312" w:eastAsia="仿宋_GB2312" w:hAnsi="Times New Roman"/>
                          <w:szCs w:val="21"/>
                        </w:rPr>
                      </w:pPr>
                      <w:r>
                        <w:rPr>
                          <w:rFonts w:ascii="仿宋_GB2312" w:eastAsia="仿宋_GB2312" w:hAnsi="Times New Roman" w:hint="eastAsia"/>
                          <w:szCs w:val="21"/>
                        </w:rPr>
                        <w:t>图</w:t>
                      </w:r>
                      <w:r>
                        <w:rPr>
                          <w:rFonts w:ascii="仿宋_GB2312" w:eastAsia="仿宋_GB2312" w:hAnsi="Times New Roman" w:hint="eastAsia"/>
                          <w:szCs w:val="21"/>
                        </w:rPr>
                        <w:t>4</w:t>
                      </w:r>
                      <w:r>
                        <w:rPr>
                          <w:rFonts w:ascii="仿宋_GB2312" w:eastAsia="仿宋_GB2312" w:hAnsi="Times New Roman" w:hint="eastAsia"/>
                          <w:szCs w:val="21"/>
                        </w:rPr>
                        <w:t>双桥（云谷）单元空间结构图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eastAsia="仿宋_GB2312" w:hAnsi="Times New Roman"/>
          <w:b/>
          <w:bCs/>
          <w:noProof/>
          <w:sz w:val="28"/>
        </w:rPr>
        <w:drawing>
          <wp:anchor distT="0" distB="0" distL="114300" distR="114300" simplePos="0" relativeHeight="251659264" behindDoc="1" locked="0" layoutInCell="1" allowOverlap="1" wp14:anchorId="5B4F4E5C" wp14:editId="2BA8F226">
            <wp:simplePos x="0" y="0"/>
            <wp:positionH relativeFrom="column">
              <wp:posOffset>2143125</wp:posOffset>
            </wp:positionH>
            <wp:positionV relativeFrom="paragraph">
              <wp:posOffset>66675</wp:posOffset>
            </wp:positionV>
            <wp:extent cx="3167380" cy="4343400"/>
            <wp:effectExtent l="0" t="0" r="0" b="0"/>
            <wp:wrapTight wrapText="bothSides">
              <wp:wrapPolygon edited="0">
                <wp:start x="0" y="0"/>
                <wp:lineTo x="0" y="21505"/>
                <wp:lineTo x="21435" y="21505"/>
                <wp:lineTo x="21435" y="0"/>
                <wp:lineTo x="0" y="0"/>
              </wp:wrapPolygon>
            </wp:wrapTight>
            <wp:docPr id="1" name="图片 1" descr="C:\Users\dell\AppData\Local\Temp\WeChat Files\6fdf45acebe74d5fe56497fd0e656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dell\AppData\Local\Temp\WeChat Files\6fdf45acebe74d5fe56497fd0e656f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8"/>
                    <a:stretch/>
                  </pic:blipFill>
                  <pic:spPr bwMode="auto">
                    <a:xfrm>
                      <a:off x="0" y="0"/>
                      <a:ext cx="316738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E3EC5">
        <w:rPr>
          <w:rFonts w:ascii="仿宋_GB2312" w:eastAsia="仿宋_GB2312" w:hint="eastAsia"/>
          <w:color w:val="000000"/>
          <w:sz w:val="28"/>
          <w:szCs w:val="28"/>
        </w:rPr>
        <w:t>西湖大学站所在的双桥（云谷）规划管理单元规划定位为数字示范城，智能产业城、生态田园城，规划结构为“一核、双廊、五组团”。</w:t>
      </w:r>
      <w:r w:rsidR="006E3EC5">
        <w:rPr>
          <w:rFonts w:ascii="仿宋_GB2312" w:eastAsia="仿宋_GB2312" w:hint="eastAsia"/>
          <w:color w:val="000000"/>
          <w:sz w:val="28"/>
          <w:szCs w:val="28"/>
        </w:rPr>
        <w:t xml:space="preserve"> </w:t>
      </w:r>
      <w:r w:rsidR="006E3EC5">
        <w:rPr>
          <w:rFonts w:ascii="仿宋_GB2312" w:eastAsia="仿宋_GB2312" w:hint="eastAsia"/>
          <w:color w:val="000000"/>
          <w:sz w:val="28"/>
          <w:szCs w:val="28"/>
        </w:rPr>
        <w:t>西湖大学站周边</w:t>
      </w:r>
      <w:r w:rsidR="006E3EC5">
        <w:rPr>
          <w:rFonts w:ascii="仿宋_GB2312" w:eastAsia="仿宋_GB2312" w:hint="eastAsia"/>
          <w:color w:val="000000"/>
          <w:sz w:val="28"/>
          <w:szCs w:val="28"/>
        </w:rPr>
        <w:t>区域</w:t>
      </w:r>
      <w:r w:rsidR="006E3EC5">
        <w:rPr>
          <w:rFonts w:ascii="仿宋_GB2312" w:eastAsia="仿宋_GB2312" w:hint="eastAsia"/>
          <w:color w:val="000000"/>
          <w:sz w:val="28"/>
          <w:szCs w:val="28"/>
        </w:rPr>
        <w:t>位于西湖大学高教智慧组团内，临近云谷绿核和东西向、南北向两条生态绿廊，承担创新社区、研发空间、创意空间、综合配套等功能。</w:t>
      </w:r>
      <w:r w:rsidR="006E3EC5">
        <w:rPr>
          <w:rFonts w:ascii="仿宋_GB2312" w:eastAsia="仿宋_GB2312" w:hint="eastAsia"/>
          <w:color w:val="000000"/>
          <w:sz w:val="28"/>
          <w:szCs w:val="28"/>
        </w:rPr>
        <w:t xml:space="preserve"> </w:t>
      </w:r>
    </w:p>
    <w:p w14:paraId="76F3082F" w14:textId="77777777" w:rsidR="0069360C" w:rsidRDefault="006E3EC5">
      <w:pPr>
        <w:keepNext/>
        <w:widowControl/>
        <w:shd w:val="clear" w:color="auto" w:fill="FFFFFF"/>
        <w:ind w:firstLineChars="200" w:firstLine="562"/>
        <w:rPr>
          <w:rFonts w:ascii="仿宋_GB2312" w:eastAsia="仿宋_GB2312" w:hAnsi="微软雅黑" w:cs="宋体"/>
          <w:b/>
          <w:bCs/>
          <w:kern w:val="0"/>
          <w:sz w:val="28"/>
          <w:szCs w:val="28"/>
        </w:rPr>
      </w:pPr>
      <w:r>
        <w:rPr>
          <w:rFonts w:ascii="仿宋_GB2312" w:eastAsia="仿宋_GB2312" w:hAnsi="微软雅黑" w:cs="宋体" w:hint="eastAsia"/>
          <w:b/>
          <w:bCs/>
          <w:kern w:val="0"/>
          <w:sz w:val="28"/>
          <w:szCs w:val="28"/>
        </w:rPr>
        <w:t>3</w:t>
      </w:r>
      <w:r>
        <w:rPr>
          <w:rFonts w:ascii="仿宋_GB2312" w:eastAsia="仿宋_GB2312" w:hAnsi="微软雅黑" w:cs="宋体" w:hint="eastAsia"/>
          <w:b/>
          <w:bCs/>
          <w:kern w:val="0"/>
          <w:sz w:val="28"/>
          <w:szCs w:val="28"/>
        </w:rPr>
        <w:t>、</w:t>
      </w:r>
      <w:r>
        <w:rPr>
          <w:rFonts w:ascii="仿宋_GB2312" w:eastAsia="仿宋_GB2312" w:hAnsi="微软雅黑" w:cs="宋体"/>
          <w:b/>
          <w:bCs/>
          <w:kern w:val="0"/>
          <w:sz w:val="28"/>
          <w:szCs w:val="28"/>
        </w:rPr>
        <w:t>设计重点</w:t>
      </w:r>
    </w:p>
    <w:p w14:paraId="648DD886" w14:textId="4ED07948" w:rsidR="0069360C" w:rsidRDefault="006E3EC5">
      <w:pPr>
        <w:ind w:firstLineChars="200" w:firstLine="562"/>
        <w:rPr>
          <w:rFonts w:ascii="仿宋_GB2312" w:eastAsia="仿宋_GB2312" w:hAnsi="Times New Roman"/>
          <w:sz w:val="28"/>
          <w:szCs w:val="28"/>
        </w:rPr>
      </w:pPr>
      <w:r>
        <w:rPr>
          <w:rFonts w:ascii="Times New Roman" w:eastAsia="仿宋_GB2312" w:hAnsi="Times New Roman"/>
          <w:b/>
          <w:bCs/>
          <w:sz w:val="28"/>
          <w:szCs w:val="28"/>
        </w:rPr>
        <w:t>（</w:t>
      </w:r>
      <w:r>
        <w:rPr>
          <w:rFonts w:ascii="Times New Roman" w:eastAsia="仿宋_GB2312" w:hAnsi="Times New Roman"/>
          <w:b/>
          <w:bCs/>
          <w:sz w:val="28"/>
          <w:szCs w:val="28"/>
        </w:rPr>
        <w:t>1</w:t>
      </w:r>
      <w:r>
        <w:rPr>
          <w:rFonts w:ascii="Times New Roman" w:eastAsia="仿宋_GB2312" w:hAnsi="Times New Roman"/>
          <w:b/>
          <w:bCs/>
          <w:sz w:val="28"/>
          <w:szCs w:val="28"/>
        </w:rPr>
        <w:t>）</w:t>
      </w:r>
      <w:r w:rsidR="00791E8A">
        <w:rPr>
          <w:rFonts w:ascii="Times New Roman" w:eastAsia="仿宋_GB2312" w:hAnsi="Times New Roman" w:hint="eastAsia"/>
          <w:b/>
          <w:bCs/>
          <w:sz w:val="28"/>
          <w:szCs w:val="28"/>
        </w:rPr>
        <w:t>构建</w:t>
      </w:r>
      <w:r>
        <w:rPr>
          <w:rFonts w:ascii="仿宋_GB2312" w:eastAsia="仿宋_GB2312" w:hAnsi="Times New Roman" w:hint="eastAsia"/>
          <w:sz w:val="28"/>
          <w:szCs w:val="28"/>
        </w:rPr>
        <w:t>“</w:t>
      </w:r>
      <w:r>
        <w:rPr>
          <w:rFonts w:ascii="Times New Roman" w:eastAsia="仿宋_GB2312" w:hAnsi="Times New Roman" w:hint="eastAsia"/>
          <w:b/>
          <w:bCs/>
          <w:sz w:val="28"/>
          <w:szCs w:val="28"/>
        </w:rPr>
        <w:t>城产人”深度融合</w:t>
      </w:r>
      <w:r>
        <w:rPr>
          <w:rFonts w:ascii="仿宋_GB2312" w:eastAsia="仿宋_GB2312" w:hAnsi="Times New Roman" w:hint="eastAsia"/>
          <w:b/>
          <w:sz w:val="28"/>
          <w:szCs w:val="28"/>
        </w:rPr>
        <w:t>的科创新区</w:t>
      </w:r>
    </w:p>
    <w:p w14:paraId="30B88AC9" w14:textId="77777777" w:rsidR="0069360C" w:rsidRDefault="006E3EC5">
      <w:pPr>
        <w:ind w:firstLineChars="200" w:firstLine="560"/>
        <w:rPr>
          <w:rFonts w:ascii="仿宋_GB2312" w:eastAsia="仿宋_GB2312" w:hAnsi="仿宋" w:cs="微软雅黑"/>
          <w:sz w:val="28"/>
          <w:szCs w:val="28"/>
        </w:rPr>
      </w:pPr>
      <w:r>
        <w:rPr>
          <w:rFonts w:ascii="仿宋_GB2312" w:eastAsia="仿宋_GB2312" w:hAnsi="Times New Roman" w:hint="eastAsia"/>
          <w:sz w:val="28"/>
          <w:szCs w:val="28"/>
        </w:rPr>
        <w:t>以轨道交通</w:t>
      </w:r>
      <w:r>
        <w:rPr>
          <w:rFonts w:ascii="仿宋_GB2312" w:eastAsia="仿宋_GB2312" w:hAnsi="Times New Roman" w:hint="eastAsia"/>
          <w:sz w:val="28"/>
          <w:szCs w:val="28"/>
        </w:rPr>
        <w:t>TOD</w:t>
      </w:r>
      <w:r>
        <w:rPr>
          <w:rFonts w:ascii="仿宋_GB2312" w:eastAsia="仿宋_GB2312" w:hAnsi="Times New Roman" w:hint="eastAsia"/>
          <w:sz w:val="28"/>
          <w:szCs w:val="28"/>
        </w:rPr>
        <w:t>综合开发引领科创新区建设，</w:t>
      </w:r>
      <w:r>
        <w:rPr>
          <w:rFonts w:ascii="仿宋_GB2312" w:eastAsia="仿宋_GB2312" w:hAnsi="仿宋" w:cs="微软雅黑" w:hint="eastAsia"/>
          <w:sz w:val="28"/>
          <w:szCs w:val="28"/>
        </w:rPr>
        <w:t>推动轨道交通与城市功能融合发展，塑造高效集约、功能复合、环境优美的高品质城市空间，吸引创新要素集聚，打造“城产人”深度融合的科创新区。</w:t>
      </w:r>
    </w:p>
    <w:p w14:paraId="32B10F65" w14:textId="717C269C" w:rsidR="0069360C" w:rsidRDefault="006E3EC5">
      <w:pPr>
        <w:ind w:firstLineChars="200" w:firstLine="562"/>
        <w:rPr>
          <w:rFonts w:ascii="仿宋_GB2312" w:eastAsia="仿宋_GB2312" w:hAnsi="Times New Roman"/>
          <w:b/>
          <w:sz w:val="28"/>
          <w:szCs w:val="28"/>
        </w:rPr>
      </w:pPr>
      <w:r>
        <w:rPr>
          <w:rFonts w:ascii="仿宋_GB2312" w:eastAsia="仿宋_GB2312" w:hAnsi="Times New Roman" w:hint="eastAsia"/>
          <w:b/>
          <w:sz w:val="28"/>
          <w:szCs w:val="28"/>
        </w:rPr>
        <w:t>（</w:t>
      </w:r>
      <w:r>
        <w:rPr>
          <w:rFonts w:ascii="仿宋_GB2312" w:eastAsia="仿宋_GB2312" w:hAnsi="Times New Roman" w:hint="eastAsia"/>
          <w:b/>
          <w:sz w:val="28"/>
          <w:szCs w:val="28"/>
        </w:rPr>
        <w:t>2</w:t>
      </w:r>
      <w:r>
        <w:rPr>
          <w:rFonts w:ascii="仿宋_GB2312" w:eastAsia="仿宋_GB2312" w:hAnsi="Times New Roman" w:hint="eastAsia"/>
          <w:b/>
          <w:sz w:val="28"/>
          <w:szCs w:val="28"/>
        </w:rPr>
        <w:t>）</w:t>
      </w:r>
      <w:r w:rsidR="00791E8A">
        <w:rPr>
          <w:rFonts w:ascii="仿宋_GB2312" w:eastAsia="仿宋_GB2312" w:hAnsi="Times New Roman" w:hint="eastAsia"/>
          <w:b/>
          <w:sz w:val="28"/>
          <w:szCs w:val="28"/>
        </w:rPr>
        <w:t>形成</w:t>
      </w:r>
      <w:r>
        <w:rPr>
          <w:rFonts w:ascii="仿宋_GB2312" w:eastAsia="仿宋_GB2312" w:hAnsi="Times New Roman" w:hint="eastAsia"/>
          <w:b/>
          <w:sz w:val="28"/>
          <w:szCs w:val="28"/>
        </w:rPr>
        <w:t>西湖大学综合创新圈的重要节点</w:t>
      </w:r>
    </w:p>
    <w:p w14:paraId="4DA86F61" w14:textId="77777777" w:rsidR="0069360C" w:rsidRDefault="006E3EC5">
      <w:pPr>
        <w:ind w:firstLineChars="200" w:firstLine="560"/>
        <w:rPr>
          <w:rFonts w:ascii="仿宋_GB2312" w:eastAsia="仿宋_GB2312" w:hAnsi="Times New Roman"/>
          <w:sz w:val="28"/>
          <w:szCs w:val="28"/>
        </w:rPr>
      </w:pPr>
      <w:r>
        <w:rPr>
          <w:rFonts w:ascii="仿宋_GB2312" w:eastAsia="仿宋_GB2312" w:hAnsi="Times New Roman" w:hint="eastAsia"/>
          <w:sz w:val="28"/>
          <w:szCs w:val="28"/>
        </w:rPr>
        <w:t>以</w:t>
      </w:r>
      <w:r>
        <w:rPr>
          <w:rFonts w:ascii="仿宋_GB2312" w:eastAsia="仿宋_GB2312" w:hAnsi="Times New Roman" w:hint="eastAsia"/>
          <w:sz w:val="28"/>
          <w:szCs w:val="28"/>
        </w:rPr>
        <w:t>TOD</w:t>
      </w:r>
      <w:r>
        <w:rPr>
          <w:rFonts w:ascii="仿宋_GB2312" w:eastAsia="仿宋_GB2312" w:hAnsi="Times New Roman" w:hint="eastAsia"/>
          <w:sz w:val="28"/>
          <w:szCs w:val="28"/>
        </w:rPr>
        <w:t>综合开发完善西湖大学综合创新圈功能，提升源头创新能力，完善创新配套功能，搭建创新交流平台，打造片区创新活力中心。</w:t>
      </w:r>
    </w:p>
    <w:p w14:paraId="51C5C656" w14:textId="5E7DC82A" w:rsidR="0069360C" w:rsidRDefault="006E3EC5">
      <w:pPr>
        <w:ind w:firstLineChars="200" w:firstLine="562"/>
        <w:rPr>
          <w:rFonts w:ascii="仿宋_GB2312" w:eastAsia="仿宋_GB2312" w:hAnsi="Times New Roman"/>
          <w:b/>
          <w:sz w:val="28"/>
          <w:szCs w:val="28"/>
        </w:rPr>
      </w:pPr>
      <w:r>
        <w:rPr>
          <w:rFonts w:ascii="仿宋_GB2312" w:eastAsia="仿宋_GB2312" w:hAnsi="Times New Roman" w:hint="eastAsia"/>
          <w:b/>
          <w:bCs/>
          <w:sz w:val="28"/>
          <w:szCs w:val="28"/>
        </w:rPr>
        <w:t>（</w:t>
      </w:r>
      <w:r>
        <w:rPr>
          <w:rFonts w:ascii="仿宋_GB2312" w:eastAsia="仿宋_GB2312" w:hAnsi="Times New Roman" w:hint="eastAsia"/>
          <w:b/>
          <w:bCs/>
          <w:sz w:val="28"/>
          <w:szCs w:val="28"/>
        </w:rPr>
        <w:t>3</w:t>
      </w:r>
      <w:r>
        <w:rPr>
          <w:rFonts w:ascii="仿宋_GB2312" w:eastAsia="仿宋_GB2312" w:hAnsi="Times New Roman" w:hint="eastAsia"/>
          <w:b/>
          <w:bCs/>
          <w:sz w:val="28"/>
          <w:szCs w:val="28"/>
        </w:rPr>
        <w:t>）</w:t>
      </w:r>
      <w:r w:rsidR="00791E8A">
        <w:rPr>
          <w:rFonts w:ascii="仿宋_GB2312" w:eastAsia="仿宋_GB2312" w:hAnsi="Times New Roman" w:hint="eastAsia"/>
          <w:b/>
          <w:bCs/>
          <w:sz w:val="28"/>
          <w:szCs w:val="28"/>
        </w:rPr>
        <w:t>打造</w:t>
      </w:r>
      <w:r>
        <w:rPr>
          <w:rFonts w:ascii="仿宋_GB2312" w:eastAsia="仿宋_GB2312" w:hAnsi="Times New Roman" w:hint="eastAsia"/>
          <w:b/>
          <w:sz w:val="28"/>
          <w:szCs w:val="28"/>
        </w:rPr>
        <w:t>服务人才、全龄友好的未来社区</w:t>
      </w:r>
    </w:p>
    <w:p w14:paraId="2B56B2E0" w14:textId="77777777" w:rsidR="0069360C" w:rsidRDefault="006E3EC5">
      <w:pPr>
        <w:ind w:firstLineChars="200" w:firstLine="560"/>
        <w:rPr>
          <w:rFonts w:ascii="仿宋_GB2312" w:eastAsia="仿宋_GB2312" w:hAnsi="Times New Roman"/>
          <w:sz w:val="28"/>
          <w:szCs w:val="28"/>
        </w:rPr>
      </w:pPr>
      <w:r>
        <w:rPr>
          <w:rFonts w:ascii="仿宋_GB2312" w:eastAsia="仿宋_GB2312" w:hAnsi="Times New Roman" w:hint="eastAsia"/>
          <w:sz w:val="28"/>
          <w:szCs w:val="28"/>
        </w:rPr>
        <w:t>以人的需求为核心实践未来社区，结合国际化、年轻化、高知化</w:t>
      </w:r>
      <w:r>
        <w:rPr>
          <w:rFonts w:ascii="仿宋_GB2312" w:eastAsia="仿宋_GB2312" w:hAnsi="Times New Roman" w:hint="eastAsia"/>
          <w:sz w:val="28"/>
          <w:szCs w:val="28"/>
        </w:rPr>
        <w:lastRenderedPageBreak/>
        <w:t>人群特点，合理组织创新生活圈，集成未来社区九大场景，打造“未来社区”生活典范。</w:t>
      </w:r>
    </w:p>
    <w:p w14:paraId="381908DA" w14:textId="7A06C80C" w:rsidR="0069360C" w:rsidRDefault="006E3EC5">
      <w:pPr>
        <w:ind w:firstLineChars="200" w:firstLine="562"/>
        <w:rPr>
          <w:rFonts w:ascii="仿宋_GB2312" w:eastAsia="仿宋_GB2312" w:hAnsi="Times New Roman"/>
          <w:b/>
          <w:sz w:val="28"/>
          <w:szCs w:val="28"/>
        </w:rPr>
      </w:pPr>
      <w:r>
        <w:rPr>
          <w:rFonts w:ascii="仿宋_GB2312" w:eastAsia="仿宋_GB2312" w:hAnsi="Times New Roman" w:hint="eastAsia"/>
          <w:b/>
          <w:bCs/>
          <w:sz w:val="28"/>
          <w:szCs w:val="28"/>
        </w:rPr>
        <w:t>（</w:t>
      </w:r>
      <w:r>
        <w:rPr>
          <w:rFonts w:ascii="仿宋_GB2312" w:eastAsia="仿宋_GB2312" w:hAnsi="Times New Roman" w:hint="eastAsia"/>
          <w:b/>
          <w:bCs/>
          <w:sz w:val="28"/>
          <w:szCs w:val="28"/>
        </w:rPr>
        <w:t>4</w:t>
      </w:r>
      <w:r>
        <w:rPr>
          <w:rFonts w:ascii="仿宋_GB2312" w:eastAsia="仿宋_GB2312" w:hAnsi="Times New Roman" w:hint="eastAsia"/>
          <w:b/>
          <w:bCs/>
          <w:sz w:val="28"/>
          <w:szCs w:val="28"/>
        </w:rPr>
        <w:t>）</w:t>
      </w:r>
      <w:r w:rsidR="00791E8A">
        <w:rPr>
          <w:rFonts w:ascii="仿宋_GB2312" w:eastAsia="仿宋_GB2312" w:hAnsi="Times New Roman" w:hint="eastAsia"/>
          <w:b/>
          <w:bCs/>
          <w:sz w:val="28"/>
          <w:szCs w:val="28"/>
        </w:rPr>
        <w:t>研究</w:t>
      </w:r>
      <w:r>
        <w:rPr>
          <w:rFonts w:ascii="仿宋_GB2312" w:eastAsia="仿宋_GB2312" w:hAnsi="Times New Roman" w:hint="eastAsia"/>
          <w:b/>
          <w:sz w:val="28"/>
          <w:szCs w:val="28"/>
        </w:rPr>
        <w:t>高效可达、慢行友好的未来交通</w:t>
      </w:r>
    </w:p>
    <w:p w14:paraId="337565FE" w14:textId="77777777" w:rsidR="0069360C" w:rsidRDefault="006E3EC5">
      <w:pPr>
        <w:ind w:firstLineChars="200" w:firstLine="560"/>
        <w:rPr>
          <w:rFonts w:ascii="仿宋_GB2312" w:eastAsia="仿宋_GB2312" w:hAnsi="Times New Roman"/>
          <w:sz w:val="28"/>
          <w:szCs w:val="28"/>
        </w:rPr>
      </w:pPr>
      <w:r>
        <w:rPr>
          <w:rFonts w:ascii="仿宋_GB2312" w:eastAsia="仿宋_GB2312" w:hAnsi="Times New Roman" w:hint="eastAsia"/>
          <w:sz w:val="28"/>
          <w:szCs w:val="28"/>
        </w:rPr>
        <w:t>以“轨道</w:t>
      </w:r>
      <w:r>
        <w:rPr>
          <w:rFonts w:ascii="仿宋_GB2312" w:eastAsia="仿宋_GB2312" w:hAnsi="Times New Roman" w:hint="eastAsia"/>
          <w:sz w:val="28"/>
          <w:szCs w:val="28"/>
        </w:rPr>
        <w:t>+</w:t>
      </w:r>
      <w:r>
        <w:rPr>
          <w:rFonts w:ascii="仿宋_GB2312" w:eastAsia="仿宋_GB2312" w:hAnsi="Times New Roman" w:hint="eastAsia"/>
          <w:sz w:val="28"/>
          <w:szCs w:val="28"/>
        </w:rPr>
        <w:t>公交</w:t>
      </w:r>
      <w:r>
        <w:rPr>
          <w:rFonts w:ascii="仿宋_GB2312" w:eastAsia="仿宋_GB2312" w:hAnsi="Times New Roman" w:hint="eastAsia"/>
          <w:sz w:val="28"/>
          <w:szCs w:val="28"/>
        </w:rPr>
        <w:t>+</w:t>
      </w:r>
      <w:r>
        <w:rPr>
          <w:rFonts w:ascii="仿宋_GB2312" w:eastAsia="仿宋_GB2312" w:hAnsi="Times New Roman" w:hint="eastAsia"/>
          <w:sz w:val="28"/>
          <w:szCs w:val="28"/>
        </w:rPr>
        <w:t>慢行”的一体化交通设计，提高城市互联互通机能，打造“未来城市”交通典范。</w:t>
      </w:r>
      <w:r>
        <w:rPr>
          <w:rFonts w:ascii="仿宋_GB2312" w:eastAsia="仿宋_GB2312" w:hAnsi="Times New Roman" w:hint="eastAsia"/>
          <w:sz w:val="28"/>
          <w:szCs w:val="28"/>
        </w:rPr>
        <w:t>重点应对西湖大学、周边产业区块的出行需求，加强地上地下慢行通道</w:t>
      </w:r>
      <w:r>
        <w:rPr>
          <w:rFonts w:ascii="仿宋_GB2312" w:eastAsia="仿宋_GB2312" w:hAnsi="Times New Roman" w:hint="eastAsia"/>
          <w:sz w:val="28"/>
          <w:szCs w:val="28"/>
        </w:rPr>
        <w:t>设计，优化道路交通系统和用地布局</w:t>
      </w:r>
      <w:r>
        <w:rPr>
          <w:rFonts w:ascii="仿宋_GB2312" w:eastAsia="仿宋_GB2312" w:hAnsi="Times New Roman" w:hint="eastAsia"/>
          <w:sz w:val="28"/>
          <w:szCs w:val="28"/>
        </w:rPr>
        <w:t>，提升</w:t>
      </w:r>
      <w:r>
        <w:rPr>
          <w:rFonts w:ascii="仿宋_GB2312" w:eastAsia="仿宋_GB2312" w:hAnsi="Times New Roman" w:hint="eastAsia"/>
          <w:sz w:val="28"/>
          <w:szCs w:val="28"/>
        </w:rPr>
        <w:t>TOD</w:t>
      </w:r>
      <w:r>
        <w:rPr>
          <w:rFonts w:ascii="仿宋_GB2312" w:eastAsia="仿宋_GB2312" w:hAnsi="Times New Roman" w:hint="eastAsia"/>
          <w:sz w:val="28"/>
          <w:szCs w:val="28"/>
        </w:rPr>
        <w:t>开发效益。</w:t>
      </w:r>
    </w:p>
    <w:p w14:paraId="39D69019" w14:textId="15670622" w:rsidR="0069360C" w:rsidRDefault="006E3EC5">
      <w:pPr>
        <w:ind w:firstLineChars="200" w:firstLine="562"/>
        <w:rPr>
          <w:rFonts w:ascii="仿宋_GB2312" w:eastAsia="仿宋_GB2312" w:hAnsi="Times New Roman"/>
          <w:b/>
          <w:sz w:val="28"/>
          <w:szCs w:val="28"/>
        </w:rPr>
      </w:pPr>
      <w:r>
        <w:rPr>
          <w:rFonts w:ascii="仿宋_GB2312" w:eastAsia="仿宋_GB2312" w:hAnsi="Times New Roman" w:hint="eastAsia"/>
          <w:b/>
          <w:sz w:val="28"/>
          <w:szCs w:val="28"/>
        </w:rPr>
        <w:t>（</w:t>
      </w:r>
      <w:r>
        <w:rPr>
          <w:rFonts w:ascii="仿宋_GB2312" w:eastAsia="仿宋_GB2312" w:hAnsi="Times New Roman" w:hint="eastAsia"/>
          <w:b/>
          <w:sz w:val="28"/>
          <w:szCs w:val="28"/>
        </w:rPr>
        <w:t>5</w:t>
      </w:r>
      <w:r>
        <w:rPr>
          <w:rFonts w:ascii="仿宋_GB2312" w:eastAsia="仿宋_GB2312" w:hAnsi="Times New Roman" w:hint="eastAsia"/>
          <w:b/>
          <w:sz w:val="28"/>
          <w:szCs w:val="28"/>
        </w:rPr>
        <w:t>）</w:t>
      </w:r>
      <w:r w:rsidR="00791E8A">
        <w:rPr>
          <w:rFonts w:ascii="仿宋_GB2312" w:eastAsia="仿宋_GB2312" w:hAnsi="Times New Roman" w:hint="eastAsia"/>
          <w:b/>
          <w:sz w:val="28"/>
          <w:szCs w:val="28"/>
        </w:rPr>
        <w:t>建设</w:t>
      </w:r>
      <w:r>
        <w:rPr>
          <w:rFonts w:ascii="仿宋_GB2312" w:eastAsia="仿宋_GB2312" w:hAnsi="Times New Roman" w:hint="eastAsia"/>
          <w:b/>
          <w:sz w:val="28"/>
          <w:szCs w:val="28"/>
        </w:rPr>
        <w:t>山水田园、城景交融的公园城市</w:t>
      </w:r>
    </w:p>
    <w:p w14:paraId="7762EC37" w14:textId="77777777" w:rsidR="0069360C" w:rsidRDefault="006E3EC5">
      <w:pPr>
        <w:ind w:firstLineChars="200" w:firstLine="560"/>
        <w:rPr>
          <w:rFonts w:ascii="仿宋_GB2312" w:eastAsia="仿宋_GB2312" w:hAnsi="Times New Roman"/>
          <w:sz w:val="28"/>
          <w:szCs w:val="28"/>
        </w:rPr>
      </w:pPr>
      <w:r>
        <w:rPr>
          <w:rFonts w:ascii="仿宋_GB2312" w:eastAsia="仿宋_GB2312" w:hAnsi="Times New Roman" w:hint="eastAsia"/>
          <w:sz w:val="28"/>
          <w:szCs w:val="28"/>
        </w:rPr>
        <w:t>加强城市空间与周边生态环境的有机融合与渗透，凸显山水田园、城景交融、蓝绿渗透的独特魅力。重点加强站点设计与公园绿地的有机结合，加强</w:t>
      </w:r>
      <w:r>
        <w:rPr>
          <w:rFonts w:ascii="仿宋_GB2312" w:eastAsia="仿宋_GB2312" w:hAnsi="Times New Roman" w:hint="eastAsia"/>
          <w:sz w:val="28"/>
          <w:szCs w:val="28"/>
        </w:rPr>
        <w:t>TOD</w:t>
      </w:r>
      <w:r>
        <w:rPr>
          <w:rFonts w:ascii="仿宋_GB2312" w:eastAsia="仿宋_GB2312" w:hAnsi="Times New Roman" w:hint="eastAsia"/>
          <w:sz w:val="28"/>
          <w:szCs w:val="28"/>
        </w:rPr>
        <w:t>建筑群与方山、毛家漾港景观的协调以及与西湖大学整体建筑的融合。</w:t>
      </w:r>
    </w:p>
    <w:p w14:paraId="290CF1B8" w14:textId="77777777" w:rsidR="0069360C" w:rsidRDefault="006E3EC5">
      <w:pPr>
        <w:keepNext/>
        <w:widowControl/>
        <w:shd w:val="clear" w:color="auto" w:fill="FFFFFF"/>
        <w:ind w:firstLineChars="200" w:firstLine="562"/>
        <w:rPr>
          <w:rFonts w:ascii="仿宋_GB2312" w:eastAsia="仿宋_GB2312" w:hAnsi="微软雅黑" w:cs="宋体"/>
          <w:b/>
          <w:bCs/>
          <w:kern w:val="0"/>
          <w:sz w:val="28"/>
          <w:szCs w:val="28"/>
        </w:rPr>
      </w:pPr>
      <w:r>
        <w:rPr>
          <w:rFonts w:ascii="仿宋_GB2312" w:eastAsia="仿宋_GB2312" w:hAnsi="微软雅黑" w:cs="宋体" w:hint="eastAsia"/>
          <w:b/>
          <w:bCs/>
          <w:kern w:val="0"/>
          <w:sz w:val="28"/>
          <w:szCs w:val="28"/>
        </w:rPr>
        <w:t>4</w:t>
      </w:r>
      <w:r>
        <w:rPr>
          <w:rFonts w:ascii="仿宋_GB2312" w:eastAsia="仿宋_GB2312" w:hAnsi="微软雅黑" w:cs="宋体" w:hint="eastAsia"/>
          <w:b/>
          <w:bCs/>
          <w:kern w:val="0"/>
          <w:sz w:val="28"/>
          <w:szCs w:val="28"/>
        </w:rPr>
        <w:t>、附图</w:t>
      </w:r>
    </w:p>
    <w:p w14:paraId="70A1DD82" w14:textId="77777777" w:rsidR="0069360C" w:rsidRDefault="006E3EC5">
      <w:pPr>
        <w:keepNext/>
        <w:widowControl/>
        <w:shd w:val="clear" w:color="auto" w:fill="FFFFFF"/>
        <w:jc w:val="center"/>
        <w:rPr>
          <w:rFonts w:ascii="仿宋_GB2312" w:eastAsia="仿宋_GB2312" w:hAnsi="微软雅黑" w:cs="宋体"/>
          <w:b/>
          <w:bCs/>
          <w:kern w:val="0"/>
          <w:sz w:val="28"/>
          <w:szCs w:val="28"/>
        </w:rPr>
      </w:pPr>
      <w:r>
        <w:rPr>
          <w:rFonts w:ascii="仿宋_GB2312" w:eastAsia="仿宋_GB2312" w:hAnsi="微软雅黑" w:cs="宋体" w:hint="eastAsia"/>
          <w:b/>
          <w:bCs/>
          <w:noProof/>
          <w:kern w:val="0"/>
          <w:sz w:val="28"/>
          <w:szCs w:val="28"/>
        </w:rPr>
        <w:drawing>
          <wp:inline distT="0" distB="0" distL="114300" distR="114300" wp14:anchorId="59ECB8B2" wp14:editId="69767CEC">
            <wp:extent cx="5083175" cy="2934335"/>
            <wp:effectExtent l="0" t="0" r="0" b="0"/>
            <wp:docPr id="7" name="图片 7" descr="西湖大学站TOD开发动态0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西湖大学站TOD开发动态07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21459" cy="2956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BB0E0" w14:textId="77777777" w:rsidR="0069360C" w:rsidRDefault="006E3EC5">
      <w:pPr>
        <w:spacing w:before="100" w:after="100"/>
        <w:jc w:val="center"/>
        <w:rPr>
          <w:rFonts w:ascii="仿宋_GB2312" w:eastAsia="仿宋_GB2312" w:hAnsi="Times New Roman" w:cs="Times New Roman"/>
          <w:szCs w:val="20"/>
        </w:rPr>
      </w:pPr>
      <w:r>
        <w:rPr>
          <w:rFonts w:ascii="仿宋_GB2312" w:eastAsia="仿宋_GB2312" w:hAnsi="Times New Roman" w:cs="Times New Roman" w:hint="eastAsia"/>
          <w:szCs w:val="20"/>
        </w:rPr>
        <w:t>图</w:t>
      </w:r>
      <w:r>
        <w:rPr>
          <w:rFonts w:ascii="仿宋_GB2312" w:eastAsia="仿宋_GB2312" w:hAnsi="Times New Roman" w:cs="Times New Roman" w:hint="eastAsia"/>
          <w:szCs w:val="20"/>
        </w:rPr>
        <w:t>5</w:t>
      </w:r>
      <w:r>
        <w:rPr>
          <w:rFonts w:ascii="仿宋_GB2312" w:eastAsia="仿宋_GB2312" w:hAnsi="Times New Roman" w:cs="Times New Roman" w:hint="eastAsia"/>
          <w:szCs w:val="20"/>
        </w:rPr>
        <w:t>周边用地条件图</w:t>
      </w:r>
    </w:p>
    <w:sectPr w:rsidR="0069360C">
      <w:foot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96C417" w14:textId="77777777" w:rsidR="006E3EC5" w:rsidRDefault="006E3EC5">
      <w:r>
        <w:separator/>
      </w:r>
    </w:p>
  </w:endnote>
  <w:endnote w:type="continuationSeparator" w:id="0">
    <w:p w14:paraId="1C86EDE6" w14:textId="77777777" w:rsidR="006E3EC5" w:rsidRDefault="006E3E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67227062"/>
    </w:sdtPr>
    <w:sdtEndPr/>
    <w:sdtContent>
      <w:p w14:paraId="0A6C9A5A" w14:textId="77777777" w:rsidR="0069360C" w:rsidRDefault="006E3EC5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8046F9" w14:textId="77777777" w:rsidR="006E3EC5" w:rsidRDefault="006E3EC5">
      <w:r>
        <w:separator/>
      </w:r>
    </w:p>
  </w:footnote>
  <w:footnote w:type="continuationSeparator" w:id="0">
    <w:p w14:paraId="6C3ACC93" w14:textId="77777777" w:rsidR="006E3EC5" w:rsidRDefault="006E3E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D96088"/>
    <w:multiLevelType w:val="multilevel"/>
    <w:tmpl w:val="0ED96088"/>
    <w:lvl w:ilvl="0">
      <w:start w:val="1"/>
      <w:numFmt w:val="bullet"/>
      <w:lvlText w:val=""/>
      <w:lvlJc w:val="left"/>
      <w:pPr>
        <w:ind w:left="982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402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822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242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662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82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502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922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42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416F"/>
    <w:rsid w:val="00094920"/>
    <w:rsid w:val="00097C10"/>
    <w:rsid w:val="000F1848"/>
    <w:rsid w:val="000F1ACC"/>
    <w:rsid w:val="0012421E"/>
    <w:rsid w:val="00132436"/>
    <w:rsid w:val="001468C1"/>
    <w:rsid w:val="00150A11"/>
    <w:rsid w:val="001530A9"/>
    <w:rsid w:val="00194822"/>
    <w:rsid w:val="001C18E8"/>
    <w:rsid w:val="001C3885"/>
    <w:rsid w:val="001D7AA3"/>
    <w:rsid w:val="001F4787"/>
    <w:rsid w:val="001F7153"/>
    <w:rsid w:val="00205474"/>
    <w:rsid w:val="00232536"/>
    <w:rsid w:val="002812D2"/>
    <w:rsid w:val="002A7836"/>
    <w:rsid w:val="002B238C"/>
    <w:rsid w:val="002C62B6"/>
    <w:rsid w:val="002D2EC3"/>
    <w:rsid w:val="00332038"/>
    <w:rsid w:val="00355598"/>
    <w:rsid w:val="003568BE"/>
    <w:rsid w:val="00367344"/>
    <w:rsid w:val="003B7767"/>
    <w:rsid w:val="003C1A70"/>
    <w:rsid w:val="00400D7F"/>
    <w:rsid w:val="00413630"/>
    <w:rsid w:val="004164E3"/>
    <w:rsid w:val="00420B11"/>
    <w:rsid w:val="00421961"/>
    <w:rsid w:val="00423626"/>
    <w:rsid w:val="004474C4"/>
    <w:rsid w:val="00451A11"/>
    <w:rsid w:val="00475480"/>
    <w:rsid w:val="0047586A"/>
    <w:rsid w:val="0047690A"/>
    <w:rsid w:val="00496AE1"/>
    <w:rsid w:val="004A6B74"/>
    <w:rsid w:val="004E4D61"/>
    <w:rsid w:val="004F0155"/>
    <w:rsid w:val="00533890"/>
    <w:rsid w:val="005615D5"/>
    <w:rsid w:val="00566E41"/>
    <w:rsid w:val="006059BC"/>
    <w:rsid w:val="0062250E"/>
    <w:rsid w:val="00652007"/>
    <w:rsid w:val="00671B6D"/>
    <w:rsid w:val="006756CC"/>
    <w:rsid w:val="00686BBA"/>
    <w:rsid w:val="0069360C"/>
    <w:rsid w:val="006A6940"/>
    <w:rsid w:val="006C3DEC"/>
    <w:rsid w:val="006E3EC5"/>
    <w:rsid w:val="006F54B9"/>
    <w:rsid w:val="0072601B"/>
    <w:rsid w:val="0076228E"/>
    <w:rsid w:val="00783E18"/>
    <w:rsid w:val="00791E8A"/>
    <w:rsid w:val="007D0D8B"/>
    <w:rsid w:val="00800F28"/>
    <w:rsid w:val="00806BB1"/>
    <w:rsid w:val="00810B04"/>
    <w:rsid w:val="008226B5"/>
    <w:rsid w:val="0083197A"/>
    <w:rsid w:val="00835B7B"/>
    <w:rsid w:val="00853935"/>
    <w:rsid w:val="00870D5E"/>
    <w:rsid w:val="00893210"/>
    <w:rsid w:val="00907CA5"/>
    <w:rsid w:val="00922FCA"/>
    <w:rsid w:val="00927825"/>
    <w:rsid w:val="009462E4"/>
    <w:rsid w:val="00946637"/>
    <w:rsid w:val="00994B6C"/>
    <w:rsid w:val="009C1CD8"/>
    <w:rsid w:val="009F4845"/>
    <w:rsid w:val="00A81B67"/>
    <w:rsid w:val="00A862C2"/>
    <w:rsid w:val="00A9677C"/>
    <w:rsid w:val="00AA53CE"/>
    <w:rsid w:val="00AB20E9"/>
    <w:rsid w:val="00AC40CC"/>
    <w:rsid w:val="00AD29FD"/>
    <w:rsid w:val="00AF40EF"/>
    <w:rsid w:val="00AF4BB2"/>
    <w:rsid w:val="00B738FD"/>
    <w:rsid w:val="00B90757"/>
    <w:rsid w:val="00B957C0"/>
    <w:rsid w:val="00BA5240"/>
    <w:rsid w:val="00BF1EDB"/>
    <w:rsid w:val="00C02DB1"/>
    <w:rsid w:val="00C633B8"/>
    <w:rsid w:val="00C64B1C"/>
    <w:rsid w:val="00CC42FD"/>
    <w:rsid w:val="00CC7849"/>
    <w:rsid w:val="00CD2D04"/>
    <w:rsid w:val="00D10675"/>
    <w:rsid w:val="00D10A74"/>
    <w:rsid w:val="00D11EB3"/>
    <w:rsid w:val="00D233AB"/>
    <w:rsid w:val="00D52C04"/>
    <w:rsid w:val="00D9416F"/>
    <w:rsid w:val="00D96B16"/>
    <w:rsid w:val="00D97ADE"/>
    <w:rsid w:val="00E0427D"/>
    <w:rsid w:val="00E13C1E"/>
    <w:rsid w:val="00E154E9"/>
    <w:rsid w:val="00E223CE"/>
    <w:rsid w:val="00E22EEF"/>
    <w:rsid w:val="00E4417D"/>
    <w:rsid w:val="00E51113"/>
    <w:rsid w:val="00E74E8C"/>
    <w:rsid w:val="00E75D07"/>
    <w:rsid w:val="00EA0A07"/>
    <w:rsid w:val="00F014D7"/>
    <w:rsid w:val="00F36876"/>
    <w:rsid w:val="00F372A2"/>
    <w:rsid w:val="00F414FB"/>
    <w:rsid w:val="00F41B6A"/>
    <w:rsid w:val="00F90946"/>
    <w:rsid w:val="00F95190"/>
    <w:rsid w:val="00FB64E5"/>
    <w:rsid w:val="00FD4F62"/>
    <w:rsid w:val="00FF192C"/>
    <w:rsid w:val="04063A3D"/>
    <w:rsid w:val="04817C46"/>
    <w:rsid w:val="0690223C"/>
    <w:rsid w:val="0CA243EF"/>
    <w:rsid w:val="0F950B17"/>
    <w:rsid w:val="10695F4A"/>
    <w:rsid w:val="115B2398"/>
    <w:rsid w:val="11AB4FE1"/>
    <w:rsid w:val="13277E09"/>
    <w:rsid w:val="151E001C"/>
    <w:rsid w:val="1539356A"/>
    <w:rsid w:val="1A7D2126"/>
    <w:rsid w:val="1C0E637C"/>
    <w:rsid w:val="27217EC5"/>
    <w:rsid w:val="27367DCE"/>
    <w:rsid w:val="274F540A"/>
    <w:rsid w:val="29720397"/>
    <w:rsid w:val="2AC845A8"/>
    <w:rsid w:val="2F7858D8"/>
    <w:rsid w:val="30D34775"/>
    <w:rsid w:val="315B1B6F"/>
    <w:rsid w:val="329844AD"/>
    <w:rsid w:val="360F294F"/>
    <w:rsid w:val="3799171B"/>
    <w:rsid w:val="3D0D3FCB"/>
    <w:rsid w:val="3EAF087D"/>
    <w:rsid w:val="3F143086"/>
    <w:rsid w:val="3FEF77BA"/>
    <w:rsid w:val="415307B5"/>
    <w:rsid w:val="45F17581"/>
    <w:rsid w:val="474A07D0"/>
    <w:rsid w:val="475C58C1"/>
    <w:rsid w:val="4AFA2512"/>
    <w:rsid w:val="4F0C602C"/>
    <w:rsid w:val="4FA41F7B"/>
    <w:rsid w:val="504D087A"/>
    <w:rsid w:val="55350E05"/>
    <w:rsid w:val="565C1800"/>
    <w:rsid w:val="65B7362E"/>
    <w:rsid w:val="676F0B45"/>
    <w:rsid w:val="693D038E"/>
    <w:rsid w:val="6A727F02"/>
    <w:rsid w:val="6EF14CBD"/>
    <w:rsid w:val="6F3C7D75"/>
    <w:rsid w:val="729A666B"/>
    <w:rsid w:val="75D220D7"/>
    <w:rsid w:val="76AB66FA"/>
    <w:rsid w:val="7882048C"/>
    <w:rsid w:val="78A42B40"/>
    <w:rsid w:val="7DB231EB"/>
    <w:rsid w:val="7EA00E88"/>
    <w:rsid w:val="7F8C2F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500BD46"/>
  <w15:docId w15:val="{EF5E25B5-2096-4783-93EC-96DBF30D2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unhideWhenUsed/>
    <w:qFormat/>
    <w:rPr>
      <w:rFonts w:ascii="宋体" w:eastAsia="宋体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文档结构图 字符"/>
    <w:basedOn w:val="a0"/>
    <w:link w:val="a3"/>
    <w:uiPriority w:val="99"/>
    <w:semiHidden/>
    <w:qFormat/>
    <w:rPr>
      <w:rFonts w:ascii="宋体" w:eastAsia="宋体"/>
      <w:sz w:val="18"/>
      <w:szCs w:val="18"/>
    </w:rPr>
  </w:style>
  <w:style w:type="paragraph" w:styleId="ab">
    <w:name w:val="List Paragraph"/>
    <w:basedOn w:val="a"/>
    <w:uiPriority w:val="99"/>
    <w:qFormat/>
    <w:pPr>
      <w:ind w:firstLineChars="200" w:firstLine="420"/>
    </w:pPr>
    <w:rPr>
      <w:rFonts w:ascii="Calibri" w:eastAsia="宋体" w:hAnsi="Calibri" w:cs="Times New Roman"/>
    </w:rPr>
  </w:style>
  <w:style w:type="paragraph" w:customStyle="1" w:styleId="1">
    <w:name w:val="修订1"/>
    <w:hidden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252</Words>
  <Characters>1437</Characters>
  <DocSecurity>0</DocSecurity>
  <Lines>11</Lines>
  <Paragraphs>3</Paragraphs>
  <ScaleCrop>false</ScaleCrop>
  <LinksUpToDate>false</LinksUpToDate>
  <CharactersWithSpaces>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2021-07-05T13:02:00Z</dcterms:created>
  <dcterms:modified xsi:type="dcterms:W3CDTF">2021-07-05T13:08:00Z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749469E151784A648ECAB0D0C014D8FA</vt:lpwstr>
  </property>
</Properties>
</file>